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6069D" w14:textId="164FAF2F" w:rsidR="008F4BAD" w:rsidRDefault="003239B4" w:rsidP="007B43FD">
      <w:pPr>
        <w:contextualSpacing/>
        <w:jc w:val="center"/>
        <w:rPr>
          <w:b/>
          <w:sz w:val="28"/>
        </w:rPr>
      </w:pPr>
      <w:bookmarkStart w:id="0" w:name="_Toc310579467"/>
      <w:bookmarkStart w:id="1" w:name="_Toc481584196"/>
      <w:bookmarkStart w:id="2" w:name="_Toc310579468"/>
      <w:bookmarkStart w:id="3" w:name="_Toc481584197"/>
      <w:r>
        <w:rPr>
          <w:b/>
          <w:sz w:val="28"/>
        </w:rPr>
        <w:t xml:space="preserve">The Impact of </w:t>
      </w:r>
      <w:r w:rsidR="00E61552">
        <w:rPr>
          <w:b/>
          <w:sz w:val="28"/>
        </w:rPr>
        <w:t>Hours of Advance Notice</w:t>
      </w:r>
      <w:r>
        <w:rPr>
          <w:b/>
          <w:sz w:val="28"/>
        </w:rPr>
        <w:t xml:space="preserve"> on Protective Action in Response to Tornadoes</w:t>
      </w:r>
    </w:p>
    <w:p w14:paraId="6B8895B1" w14:textId="4718AB68" w:rsidR="007B43FD" w:rsidRPr="00235156" w:rsidRDefault="007B43FD" w:rsidP="007B43FD">
      <w:pPr>
        <w:contextualSpacing/>
        <w:jc w:val="center"/>
      </w:pPr>
      <w:r w:rsidRPr="00235156">
        <w:t xml:space="preserve">Makenzie </w:t>
      </w:r>
      <w:r>
        <w:t xml:space="preserve">J. </w:t>
      </w:r>
      <w:r w:rsidRPr="00235156">
        <w:t>Krocak</w:t>
      </w:r>
      <w:r w:rsidR="00515A96" w:rsidRPr="00515A96">
        <w:rPr>
          <w:vertAlign w:val="superscript"/>
        </w:rPr>
        <w:t>1,2,3,4</w:t>
      </w:r>
      <w:r w:rsidR="00515A96">
        <w:rPr>
          <w:vertAlign w:val="superscript"/>
        </w:rPr>
        <w:t xml:space="preserve"> </w:t>
      </w:r>
      <w:r w:rsidR="00EC7ED0">
        <w:t>*</w:t>
      </w:r>
      <w:r w:rsidR="00515A96">
        <w:t>, Joseph T. Ripberger</w:t>
      </w:r>
      <w:r w:rsidR="00515A96" w:rsidRPr="00515A96">
        <w:rPr>
          <w:vertAlign w:val="superscript"/>
        </w:rPr>
        <w:t>1,2</w:t>
      </w:r>
      <w:r w:rsidR="00515A96">
        <w:t>, Hank Jenkins-Smith</w:t>
      </w:r>
      <w:r w:rsidR="00515A96" w:rsidRPr="00515A96">
        <w:rPr>
          <w:vertAlign w:val="superscript"/>
        </w:rPr>
        <w:t>1,2</w:t>
      </w:r>
      <w:r w:rsidR="00515A96">
        <w:t>, and Carol Silva</w:t>
      </w:r>
      <w:r w:rsidR="00515A96" w:rsidRPr="00515A96">
        <w:rPr>
          <w:vertAlign w:val="superscript"/>
        </w:rPr>
        <w:t>1,2</w:t>
      </w:r>
    </w:p>
    <w:p w14:paraId="69B2FC32" w14:textId="77777777" w:rsidR="00515A96" w:rsidRDefault="00515A96" w:rsidP="00515A96">
      <w:pPr>
        <w:contextualSpacing/>
        <w:jc w:val="center"/>
        <w:rPr>
          <w:i/>
          <w:vertAlign w:val="superscript"/>
        </w:rPr>
      </w:pPr>
    </w:p>
    <w:p w14:paraId="114DB3A7" w14:textId="1BAD7D77" w:rsidR="00515A96" w:rsidRDefault="00515A96" w:rsidP="00515A96">
      <w:pPr>
        <w:contextualSpacing/>
        <w:jc w:val="center"/>
        <w:rPr>
          <w:i/>
        </w:rPr>
      </w:pPr>
      <w:r w:rsidRPr="00515A96">
        <w:rPr>
          <w:i/>
          <w:vertAlign w:val="superscript"/>
        </w:rPr>
        <w:t>1</w:t>
      </w:r>
      <w:r w:rsidRPr="00515A96">
        <w:rPr>
          <w:i/>
        </w:rPr>
        <w:t xml:space="preserve">University of Oklahoma Center for Risk and Crisis Management, Norman, OK </w:t>
      </w:r>
    </w:p>
    <w:p w14:paraId="04EA9A56" w14:textId="6DE1FA56" w:rsidR="00515A96" w:rsidRPr="00515A96" w:rsidRDefault="00515A96" w:rsidP="00515A96">
      <w:pPr>
        <w:contextualSpacing/>
        <w:jc w:val="center"/>
        <w:rPr>
          <w:i/>
        </w:rPr>
      </w:pPr>
      <w:r w:rsidRPr="00515A96">
        <w:rPr>
          <w:i/>
          <w:vertAlign w:val="superscript"/>
        </w:rPr>
        <w:t>2</w:t>
      </w:r>
      <w:r w:rsidRPr="00515A96">
        <w:rPr>
          <w:i/>
        </w:rPr>
        <w:t xml:space="preserve"> National Institute for Risk &amp; Resilience, Norman, OK</w:t>
      </w:r>
    </w:p>
    <w:p w14:paraId="372F892B" w14:textId="77777777" w:rsidR="00515A96" w:rsidRPr="00515A96" w:rsidRDefault="00515A96" w:rsidP="00515A96">
      <w:pPr>
        <w:contextualSpacing/>
        <w:jc w:val="center"/>
        <w:rPr>
          <w:i/>
        </w:rPr>
      </w:pPr>
      <w:r w:rsidRPr="00515A96">
        <w:rPr>
          <w:i/>
          <w:vertAlign w:val="superscript"/>
        </w:rPr>
        <w:t>3</w:t>
      </w:r>
      <w:r w:rsidRPr="00515A96">
        <w:rPr>
          <w:i/>
        </w:rPr>
        <w:t xml:space="preserve"> Cooperative Institute for Mesoscale Meteorological Studies, Norman, OK</w:t>
      </w:r>
    </w:p>
    <w:p w14:paraId="5DE13CF5" w14:textId="5D277427" w:rsidR="007B43FD" w:rsidRDefault="00515A96" w:rsidP="00515A96">
      <w:pPr>
        <w:contextualSpacing/>
        <w:jc w:val="center"/>
        <w:rPr>
          <w:i/>
        </w:rPr>
      </w:pPr>
      <w:r w:rsidRPr="00515A96">
        <w:rPr>
          <w:i/>
          <w:vertAlign w:val="superscript"/>
        </w:rPr>
        <w:t xml:space="preserve">4 </w:t>
      </w:r>
      <w:r w:rsidRPr="00515A96">
        <w:rPr>
          <w:i/>
        </w:rPr>
        <w:t>NOAA/OAR National Severe Storms Laboratory, Norman, OK</w:t>
      </w:r>
    </w:p>
    <w:p w14:paraId="4D9FD2C9" w14:textId="127B985F" w:rsidR="006C37B4" w:rsidRDefault="006C37B4" w:rsidP="00515A96">
      <w:pPr>
        <w:contextualSpacing/>
        <w:jc w:val="center"/>
        <w:rPr>
          <w:sz w:val="28"/>
        </w:rPr>
      </w:pPr>
    </w:p>
    <w:p w14:paraId="24EC71D3" w14:textId="16553735" w:rsidR="007B43FD" w:rsidRDefault="007B43FD" w:rsidP="007B43FD">
      <w:pPr>
        <w:contextualSpacing/>
        <w:jc w:val="center"/>
        <w:rPr>
          <w:sz w:val="28"/>
        </w:rPr>
      </w:pPr>
    </w:p>
    <w:p w14:paraId="5E33AC17" w14:textId="77777777" w:rsidR="001F0085" w:rsidRDefault="001F0085" w:rsidP="007B43FD">
      <w:pPr>
        <w:contextualSpacing/>
        <w:jc w:val="center"/>
        <w:rPr>
          <w:sz w:val="28"/>
        </w:rPr>
      </w:pPr>
    </w:p>
    <w:p w14:paraId="1DD777EF" w14:textId="77777777" w:rsidR="007B43FD" w:rsidRDefault="007B43FD" w:rsidP="007B43FD">
      <w:pPr>
        <w:contextualSpacing/>
        <w:jc w:val="center"/>
        <w:rPr>
          <w:sz w:val="28"/>
        </w:rPr>
      </w:pPr>
    </w:p>
    <w:p w14:paraId="6E20BBDA" w14:textId="77777777" w:rsidR="007B43FD" w:rsidRDefault="007B43FD" w:rsidP="007B43FD">
      <w:pPr>
        <w:contextualSpacing/>
        <w:jc w:val="center"/>
        <w:rPr>
          <w:sz w:val="28"/>
        </w:rPr>
      </w:pPr>
    </w:p>
    <w:p w14:paraId="78D38497" w14:textId="77777777" w:rsidR="007B43FD" w:rsidRDefault="007B43FD" w:rsidP="007B43FD">
      <w:pPr>
        <w:contextualSpacing/>
        <w:jc w:val="center"/>
        <w:rPr>
          <w:sz w:val="28"/>
        </w:rPr>
      </w:pPr>
    </w:p>
    <w:p w14:paraId="6592925C" w14:textId="77777777" w:rsidR="007B43FD" w:rsidRDefault="007B43FD" w:rsidP="007B43FD">
      <w:pPr>
        <w:contextualSpacing/>
        <w:jc w:val="center"/>
        <w:rPr>
          <w:sz w:val="28"/>
        </w:rPr>
      </w:pPr>
    </w:p>
    <w:p w14:paraId="4305B6DA" w14:textId="77777777" w:rsidR="007B43FD" w:rsidRDefault="007B43FD" w:rsidP="007B43FD">
      <w:pPr>
        <w:contextualSpacing/>
        <w:jc w:val="center"/>
        <w:rPr>
          <w:sz w:val="28"/>
        </w:rPr>
      </w:pPr>
    </w:p>
    <w:p w14:paraId="4D44A475" w14:textId="77777777" w:rsidR="008F4BAD" w:rsidRDefault="008F4BAD" w:rsidP="007B43FD">
      <w:pPr>
        <w:contextualSpacing/>
        <w:jc w:val="center"/>
        <w:rPr>
          <w:i/>
        </w:rPr>
      </w:pPr>
    </w:p>
    <w:p w14:paraId="5D65FF7C" w14:textId="77777777" w:rsidR="008F4BAD" w:rsidRDefault="008F4BAD" w:rsidP="007B43FD">
      <w:pPr>
        <w:contextualSpacing/>
        <w:jc w:val="center"/>
        <w:rPr>
          <w:i/>
        </w:rPr>
      </w:pPr>
    </w:p>
    <w:p w14:paraId="2D070FDD" w14:textId="77777777" w:rsidR="007B43FD" w:rsidRPr="0088687C" w:rsidRDefault="008F4BAD" w:rsidP="007B43FD">
      <w:pPr>
        <w:contextualSpacing/>
        <w:jc w:val="center"/>
      </w:pPr>
      <w:r>
        <w:rPr>
          <w:i/>
        </w:rPr>
        <w:t>*Corresponding author</w:t>
      </w:r>
      <w:r w:rsidR="007B43FD" w:rsidRPr="0088687C">
        <w:t xml:space="preserve">: </w:t>
      </w:r>
    </w:p>
    <w:p w14:paraId="02F866A2" w14:textId="77777777" w:rsidR="007B43FD" w:rsidRPr="008F4BAD" w:rsidRDefault="007B43FD" w:rsidP="007B43FD">
      <w:pPr>
        <w:contextualSpacing/>
        <w:jc w:val="center"/>
      </w:pPr>
      <w:r w:rsidRPr="008F4BAD">
        <w:t xml:space="preserve">Makenzie J. </w:t>
      </w:r>
      <w:proofErr w:type="spellStart"/>
      <w:r w:rsidRPr="008F4BAD">
        <w:t>Krocak</w:t>
      </w:r>
      <w:proofErr w:type="spellEnd"/>
    </w:p>
    <w:p w14:paraId="0E86040F" w14:textId="77777777" w:rsidR="007B43FD" w:rsidRDefault="007B43FD" w:rsidP="007B43FD">
      <w:pPr>
        <w:contextualSpacing/>
        <w:jc w:val="center"/>
        <w:rPr>
          <w:sz w:val="28"/>
        </w:rPr>
      </w:pPr>
      <w:r w:rsidRPr="0088687C">
        <w:t xml:space="preserve">Email: </w:t>
      </w:r>
      <w:hyperlink r:id="rId8" w:history="1">
        <w:r w:rsidRPr="0088687C">
          <w:rPr>
            <w:rStyle w:val="Hyperlink"/>
          </w:rPr>
          <w:t>makenzie.krocak@noaa.gov</w:t>
        </w:r>
      </w:hyperlink>
      <w:r>
        <w:rPr>
          <w:sz w:val="28"/>
        </w:rPr>
        <w:br w:type="page"/>
      </w:r>
    </w:p>
    <w:bookmarkEnd w:id="0"/>
    <w:bookmarkEnd w:id="1"/>
    <w:p w14:paraId="46567790" w14:textId="77777777" w:rsidR="007B43FD" w:rsidRPr="007952CB" w:rsidRDefault="007B43FD" w:rsidP="007B43FD">
      <w:pPr>
        <w:jc w:val="center"/>
        <w:rPr>
          <w:sz w:val="28"/>
        </w:rPr>
      </w:pPr>
      <w:r w:rsidRPr="007952CB">
        <w:rPr>
          <w:sz w:val="28"/>
        </w:rPr>
        <w:lastRenderedPageBreak/>
        <w:t>ABSTRACT</w:t>
      </w:r>
    </w:p>
    <w:p w14:paraId="579C4ACC" w14:textId="6273E3B9" w:rsidR="000F41C6" w:rsidRDefault="00435F17" w:rsidP="000F41C6">
      <w:pPr>
        <w:ind w:firstLine="720"/>
      </w:pPr>
      <w:r>
        <w:t xml:space="preserve">As numerical modeling methods and forecasting technologies continue to improve, </w:t>
      </w:r>
      <w:r w:rsidR="006F25FB">
        <w:t>people</w:t>
      </w:r>
      <w:r>
        <w:t xml:space="preserve"> may start to </w:t>
      </w:r>
      <w:r w:rsidR="006F25FB">
        <w:t xml:space="preserve">see more specific severe weather timing and location information </w:t>
      </w:r>
      <w:r>
        <w:t xml:space="preserve">hours before the event occurs. While studies have investigated response actions on the warning time scales, little work has been done to understand what types of actions residents will take given 4 - 8 hours of advance notice </w:t>
      </w:r>
      <w:r w:rsidR="000F41C6">
        <w:t>for</w:t>
      </w:r>
      <w:r>
        <w:t xml:space="preserve"> a </w:t>
      </w:r>
      <w:r w:rsidR="00005C4B">
        <w:t xml:space="preserve">possible </w:t>
      </w:r>
      <w:r>
        <w:t>tornad</w:t>
      </w:r>
      <w:r w:rsidR="00005C4B">
        <w:t xml:space="preserve">o. </w:t>
      </w:r>
      <w:r>
        <w:t xml:space="preserve">This study uses data from the </w:t>
      </w:r>
      <w:r w:rsidR="00C94D76">
        <w:t xml:space="preserve">2018 </w:t>
      </w:r>
      <w:r>
        <w:t xml:space="preserve">Severe Weather and Society </w:t>
      </w:r>
      <w:r w:rsidR="0023447F">
        <w:t>Survey</w:t>
      </w:r>
      <w:r>
        <w:t xml:space="preserve">, an annual survey of US adults, to begin analyzing response actions and how </w:t>
      </w:r>
      <w:r w:rsidR="00C94D76">
        <w:t xml:space="preserve">those responses </w:t>
      </w:r>
      <w:r>
        <w:t xml:space="preserve">differ with either four or eight hours of </w:t>
      </w:r>
      <w:r w:rsidR="00255B38">
        <w:t>advance notice</w:t>
      </w:r>
      <w:r w:rsidR="000F41C6">
        <w:t xml:space="preserve">. </w:t>
      </w:r>
      <w:r w:rsidR="00AA637C">
        <w:t>Results show</w:t>
      </w:r>
      <w:r>
        <w:t xml:space="preserve"> that </w:t>
      </w:r>
      <w:r w:rsidR="006F1D18">
        <w:t>response actions are largely the same between the two time periods</w:t>
      </w:r>
      <w:r w:rsidR="0006668F">
        <w:t xml:space="preserve">. The small differences that do exist show that </w:t>
      </w:r>
      <w:r>
        <w:t xml:space="preserve">sheltering behaviors are more common with </w:t>
      </w:r>
      <w:r w:rsidR="000F41C6">
        <w:t>four</w:t>
      </w:r>
      <w:r>
        <w:t xml:space="preserve"> hours of advance notice, while monitoring behavior</w:t>
      </w:r>
      <w:r w:rsidR="000F41C6">
        <w:t>s are</w:t>
      </w:r>
      <w:r>
        <w:t xml:space="preserve"> more common with </w:t>
      </w:r>
      <w:r w:rsidR="000F41C6">
        <w:t xml:space="preserve">eight hours of notice. Additionally, respondents claimed they would “wait and see” more often in the eight-hour category, indicating </w:t>
      </w:r>
      <w:r w:rsidR="0006668F">
        <w:t xml:space="preserve">they </w:t>
      </w:r>
      <w:r w:rsidR="000F41C6">
        <w:t xml:space="preserve">would seek additional information before </w:t>
      </w:r>
      <w:r w:rsidR="00515A96">
        <w:t>deciding how to respond.</w:t>
      </w:r>
      <w:r w:rsidR="000F41C6">
        <w:t xml:space="preserve"> </w:t>
      </w:r>
    </w:p>
    <w:p w14:paraId="7E359E0F" w14:textId="2FA8EE32" w:rsidR="007B43FD" w:rsidRDefault="000F41C6" w:rsidP="00435F17">
      <w:r>
        <w:tab/>
        <w:t>Perhaps more important than the types of actions respondents identify</w:t>
      </w:r>
      <w:r w:rsidR="00503FDF">
        <w:t>,</w:t>
      </w:r>
      <w:r>
        <w:t xml:space="preserve"> is the increase in </w:t>
      </w:r>
      <w:r w:rsidR="00503FDF">
        <w:t>th</w:t>
      </w:r>
      <w:r w:rsidR="0006668F">
        <w:t>ose</w:t>
      </w:r>
      <w:r>
        <w:t xml:space="preserve"> </w:t>
      </w:r>
      <w:r w:rsidR="00503FDF">
        <w:t xml:space="preserve">who </w:t>
      </w:r>
      <w:r w:rsidR="00EC7216">
        <w:t xml:space="preserve">are </w:t>
      </w:r>
      <w:r>
        <w:t xml:space="preserve">unsure of how to react </w:t>
      </w:r>
      <w:r w:rsidR="001E4677">
        <w:t xml:space="preserve">or would choose to do nothing </w:t>
      </w:r>
      <w:r>
        <w:t xml:space="preserve">when given eight hours of </w:t>
      </w:r>
      <w:r w:rsidR="00255B38">
        <w:t>notice</w:t>
      </w:r>
      <w:r>
        <w:t xml:space="preserve">. </w:t>
      </w:r>
      <w:r w:rsidR="0006668F">
        <w:t xml:space="preserve">Respondents may be </w:t>
      </w:r>
      <w:r w:rsidR="000D094A">
        <w:t xml:space="preserve">anchored </w:t>
      </w:r>
      <w:r>
        <w:t>to the current system and have</w:t>
      </w:r>
      <w:r w:rsidR="006B3A0C">
        <w:t xml:space="preserve"> no</w:t>
      </w:r>
      <w:r>
        <w:t xml:space="preserve">t </w:t>
      </w:r>
      <w:r w:rsidR="006B3A0C">
        <w:t>considered</w:t>
      </w:r>
      <w:r>
        <w:t xml:space="preserve"> all of the possible actions </w:t>
      </w:r>
      <w:r w:rsidR="006B3A0C">
        <w:t xml:space="preserve">they can take </w:t>
      </w:r>
      <w:r>
        <w:t xml:space="preserve">given </w:t>
      </w:r>
      <w:r w:rsidR="00255B38">
        <w:t>more time</w:t>
      </w:r>
      <w:r>
        <w:t xml:space="preserve">. Therefore, we emphasize the need for education campaigns as technology, </w:t>
      </w:r>
      <w:r w:rsidR="00543017">
        <w:t>forecasts</w:t>
      </w:r>
      <w:r w:rsidR="006B3A0C">
        <w:t>,</w:t>
      </w:r>
      <w:r>
        <w:t xml:space="preserve"> and desired responses continue to evolve. </w:t>
      </w:r>
      <w:r w:rsidR="007B43FD">
        <w:br w:type="page"/>
      </w:r>
    </w:p>
    <w:p w14:paraId="69FDA1FA" w14:textId="77777777" w:rsidR="007B43FD" w:rsidRPr="00E06311" w:rsidRDefault="007B43FD" w:rsidP="007B43FD">
      <w:pPr>
        <w:pStyle w:val="Heading1"/>
      </w:pPr>
      <w:r w:rsidRPr="00E06311">
        <w:lastRenderedPageBreak/>
        <w:t>Introduction and Background</w:t>
      </w:r>
      <w:bookmarkEnd w:id="2"/>
      <w:bookmarkEnd w:id="3"/>
    </w:p>
    <w:p w14:paraId="08CF4569" w14:textId="39B084A1" w:rsidR="00FB4635" w:rsidRDefault="00FB4635" w:rsidP="00FB4635">
      <w:pPr>
        <w:ind w:firstLine="720"/>
      </w:pPr>
      <w:bookmarkStart w:id="4" w:name="_Toc481584202"/>
      <w:r w:rsidRPr="00C74AEE">
        <w:t xml:space="preserve">As forecast technology continues to improve, we may start to see more specific </w:t>
      </w:r>
      <w:r>
        <w:t xml:space="preserve">forecast </w:t>
      </w:r>
      <w:r w:rsidRPr="00C74AEE">
        <w:t xml:space="preserve">information (including timing information) </w:t>
      </w:r>
      <w:r w:rsidR="000B32FD">
        <w:t xml:space="preserve">earlier in the event timeline. </w:t>
      </w:r>
      <w:r w:rsidRPr="00C74AEE">
        <w:t xml:space="preserve">This </w:t>
      </w:r>
      <w:r>
        <w:t xml:space="preserve">may </w:t>
      </w:r>
      <w:r w:rsidR="0006668F">
        <w:t xml:space="preserve">mean </w:t>
      </w:r>
      <w:r w:rsidRPr="00C74AEE">
        <w:t xml:space="preserve">that residents could know their specific threat time frame 4 - 8 hours ahead of the actual event. </w:t>
      </w:r>
      <w:r>
        <w:t xml:space="preserve">A change like this would open up </w:t>
      </w:r>
      <w:r w:rsidR="006D554A">
        <w:t>a</w:t>
      </w:r>
      <w:r>
        <w:t xml:space="preserve"> new realm of potential response actions, many of which </w:t>
      </w:r>
      <w:r w:rsidR="0006668F">
        <w:t>have not been</w:t>
      </w:r>
      <w:r>
        <w:t xml:space="preserve"> studied. This work begins the process of understanding what types of response actions individuals may take given hours of notice to tornadic events, and how those actions differ from those currently taken</w:t>
      </w:r>
      <w:r w:rsidR="001A2E4E">
        <w:t xml:space="preserve"> given minutes of lead time for tornado warnings</w:t>
      </w:r>
      <w:r>
        <w:t xml:space="preserve">. </w:t>
      </w:r>
    </w:p>
    <w:p w14:paraId="396A828D" w14:textId="0D996039" w:rsidR="002B7576" w:rsidRPr="00450AAF" w:rsidRDefault="006538B0" w:rsidP="006538B0">
      <w:pPr>
        <w:ind w:firstLine="720"/>
      </w:pPr>
      <w:r w:rsidRPr="00450AAF">
        <w:t xml:space="preserve">The National Weather Service (NWS) is the </w:t>
      </w:r>
      <w:r w:rsidR="00005C4B">
        <w:t>government entity tasked with</w:t>
      </w:r>
      <w:r w:rsidRPr="00450AAF">
        <w:t xml:space="preserve"> issuing hazardous weather</w:t>
      </w:r>
      <w:r w:rsidR="00C153FF">
        <w:t xml:space="preserve"> forecasts</w:t>
      </w:r>
      <w:r w:rsidRPr="00450AAF">
        <w:t xml:space="preserve"> for the United States</w:t>
      </w:r>
      <w:r w:rsidR="00005C4B">
        <w:t xml:space="preserve"> for the protection of life and property and enhancement of the national economy (NWS 2019)</w:t>
      </w:r>
      <w:r w:rsidRPr="00450AAF">
        <w:t>. Their suite includes products covering all hazard types, from air quality alerts</w:t>
      </w:r>
      <w:r w:rsidR="00E8138A">
        <w:t xml:space="preserve"> to</w:t>
      </w:r>
      <w:r w:rsidRPr="00450AAF">
        <w:t xml:space="preserve"> winter weather products. Specific to severe weather events, there are generally three different levels of products that comprise the public communication process. The first level</w:t>
      </w:r>
      <w:r w:rsidR="00C14BFD">
        <w:t xml:space="preserve"> includes </w:t>
      </w:r>
      <w:r w:rsidRPr="00450AAF">
        <w:t xml:space="preserve">convective outlooks, </w:t>
      </w:r>
      <w:r w:rsidR="00C14BFD">
        <w:t xml:space="preserve">which </w:t>
      </w:r>
      <w:r w:rsidRPr="00450AAF">
        <w:t xml:space="preserve">are forecasted </w:t>
      </w:r>
      <w:r w:rsidR="00434368">
        <w:t xml:space="preserve">by the Storm Prediction Center (SPC) </w:t>
      </w:r>
      <w:r w:rsidRPr="00450AAF">
        <w:t xml:space="preserve">up to eight days in advance, and are generally on a regional or multi-state scale. The second level includes mesoscale discussions and </w:t>
      </w:r>
      <w:r w:rsidR="00434368">
        <w:t>severe thunderstorm/tornado</w:t>
      </w:r>
      <w:r w:rsidRPr="00450AAF">
        <w:t xml:space="preserve"> watches</w:t>
      </w:r>
      <w:r w:rsidR="00434368">
        <w:t>, which are also issued by the SPC</w:t>
      </w:r>
      <w:r w:rsidRPr="00450AAF">
        <w:t xml:space="preserve">. These products are issued on the day of the event, generally 1-3 hours before the event begins, and are usually on a multi-county or statewide scale. Finally, the third level includes warnings, which are </w:t>
      </w:r>
      <w:r w:rsidR="00434368">
        <w:t>issued by the local NWS office. They are generally valid</w:t>
      </w:r>
      <w:r w:rsidRPr="00450AAF">
        <w:t xml:space="preserve"> </w:t>
      </w:r>
      <w:r w:rsidR="0006668F">
        <w:t xml:space="preserve">from </w:t>
      </w:r>
      <w:r w:rsidRPr="00450AAF">
        <w:t>just prior to the event occurring and are usually</w:t>
      </w:r>
      <w:r w:rsidR="00434368">
        <w:t xml:space="preserve"> the size of a</w:t>
      </w:r>
      <w:r w:rsidR="001A2E4E">
        <w:t xml:space="preserve"> county or two</w:t>
      </w:r>
      <w:r w:rsidR="00434368">
        <w:t>.</w:t>
      </w:r>
    </w:p>
    <w:p w14:paraId="6F4C5295" w14:textId="44CA09A1" w:rsidR="006538B0" w:rsidRDefault="006538B0" w:rsidP="006538B0">
      <w:pPr>
        <w:ind w:firstLine="720"/>
      </w:pPr>
      <w:r w:rsidRPr="00450AAF">
        <w:t>While the current system includes three distinct levels o</w:t>
      </w:r>
      <w:r w:rsidR="00F515A7">
        <w:t>f</w:t>
      </w:r>
      <w:r w:rsidRPr="00450AAF">
        <w:t xml:space="preserve"> products, a proposed system </w:t>
      </w:r>
      <w:r w:rsidR="00C14BFD">
        <w:t xml:space="preserve">from the </w:t>
      </w:r>
      <w:r w:rsidRPr="00450AAF">
        <w:t>Forecasting a Continuum of Environmental Threats (FACETs)</w:t>
      </w:r>
      <w:r w:rsidR="00450AAF">
        <w:t xml:space="preserve"> project aims to provide a </w:t>
      </w:r>
      <w:r w:rsidR="00450AAF">
        <w:lastRenderedPageBreak/>
        <w:t>continuous flow of hazardous weather information (</w:t>
      </w:r>
      <w:proofErr w:type="spellStart"/>
      <w:r w:rsidR="00450AAF" w:rsidRPr="00D15BD2">
        <w:t>Rothfusz</w:t>
      </w:r>
      <w:proofErr w:type="spellEnd"/>
      <w:r w:rsidR="00450AAF" w:rsidRPr="00D15BD2">
        <w:t xml:space="preserve"> et al. 2018</w:t>
      </w:r>
      <w:r w:rsidR="00450AAF">
        <w:t xml:space="preserve">). In theory, this system would provide each individual user with information specific to their situation and threat </w:t>
      </w:r>
      <w:r w:rsidR="00450AAF" w:rsidRPr="00900461">
        <w:t>tolerance.</w:t>
      </w:r>
      <w:r w:rsidR="009B59B7" w:rsidRPr="00900461">
        <w:t xml:space="preserve"> For example, this future system may </w:t>
      </w:r>
      <w:r w:rsidR="008555FD">
        <w:t>supplement current products with</w:t>
      </w:r>
      <w:r w:rsidR="008555FD" w:rsidRPr="00900461">
        <w:t xml:space="preserve"> </w:t>
      </w:r>
      <w:r w:rsidR="008555FD">
        <w:t xml:space="preserve">a continuous stream of </w:t>
      </w:r>
      <w:r w:rsidR="009B59B7" w:rsidRPr="00900461">
        <w:t xml:space="preserve">probabilistic hazard information </w:t>
      </w:r>
      <w:r w:rsidR="00900461" w:rsidRPr="00900461">
        <w:t xml:space="preserve">(see Ling et al. 2015) </w:t>
      </w:r>
      <w:r w:rsidR="008555FD">
        <w:t>that users can view at any point in time or space</w:t>
      </w:r>
      <w:r w:rsidR="007F4469">
        <w:t xml:space="preserve"> based on their pre-chosen alert-level settings</w:t>
      </w:r>
      <w:r w:rsidR="009B59B7" w:rsidRPr="00900461">
        <w:t>.</w:t>
      </w:r>
      <w:r w:rsidR="00450AAF" w:rsidRPr="00900461">
        <w:t xml:space="preserve"> </w:t>
      </w:r>
      <w:r w:rsidR="008555FD">
        <w:t xml:space="preserve">While potentially beneficial, </w:t>
      </w:r>
      <w:r w:rsidR="00450AAF">
        <w:t xml:space="preserve">some key partners (like emergency managers) often </w:t>
      </w:r>
      <w:r w:rsidR="008555FD">
        <w:t>rely on specific products to make decisions</w:t>
      </w:r>
      <w:r w:rsidR="00787D75">
        <w:t xml:space="preserve"> or activate procedure</w:t>
      </w:r>
      <w:r w:rsidR="003E3E3B">
        <w:t>s</w:t>
      </w:r>
      <w:r w:rsidR="00787D75">
        <w:t xml:space="preserve"> (Cross et al. 2019). </w:t>
      </w:r>
      <w:r w:rsidR="008555FD">
        <w:t>Likewise, t</w:t>
      </w:r>
      <w:r w:rsidR="006445EE">
        <w:t xml:space="preserve">ornado watches </w:t>
      </w:r>
      <w:r w:rsidR="008555FD">
        <w:t>seem to</w:t>
      </w:r>
      <w:r w:rsidR="006445EE">
        <w:t xml:space="preserve"> improve</w:t>
      </w:r>
      <w:r w:rsidR="00E00610">
        <w:t xml:space="preserve"> </w:t>
      </w:r>
      <w:r w:rsidR="006445EE">
        <w:t>the tornado warning process in local forecast offices (Hales 1990)</w:t>
      </w:r>
      <w:r w:rsidR="00F30228">
        <w:t xml:space="preserve">. </w:t>
      </w:r>
      <w:r w:rsidR="00D13770">
        <w:t xml:space="preserve">From a public perspective, watches serve as the first line of defense to initiate protective action. Generally, the more severe the watch type, the more likely people are to stop their activities and start monitoring the situation (Gutter et al. 2018). </w:t>
      </w:r>
      <w:r w:rsidR="00450AAF">
        <w:t xml:space="preserve">These </w:t>
      </w:r>
      <w:r w:rsidR="00F30228">
        <w:t xml:space="preserve">findings </w:t>
      </w:r>
      <w:r w:rsidR="00450AAF">
        <w:t>raise an important question</w:t>
      </w:r>
      <w:r w:rsidR="00F515A7">
        <w:t>:</w:t>
      </w:r>
      <w:r w:rsidR="00450AAF">
        <w:t xml:space="preserve"> should certain products (or product levels) be maintained in the proposed FACETs system? As forecast technology continues to improve, the current products may start to evolve and serve a different purpose, but their existence may still be important to </w:t>
      </w:r>
      <w:r w:rsidR="00235399">
        <w:t>core</w:t>
      </w:r>
      <w:r w:rsidR="00450AAF">
        <w:t xml:space="preserve"> partners and the public. </w:t>
      </w:r>
    </w:p>
    <w:p w14:paraId="07854A15" w14:textId="1602F98F" w:rsidR="00C74AEE" w:rsidRDefault="0006668F" w:rsidP="00C14BFD">
      <w:pPr>
        <w:ind w:firstLine="720"/>
      </w:pPr>
      <w:r>
        <w:t>If some or all of the current product structure remains in place, the</w:t>
      </w:r>
      <w:r w:rsidR="00450AAF">
        <w:t xml:space="preserve"> challenge </w:t>
      </w:r>
      <w:r>
        <w:t>for the</w:t>
      </w:r>
      <w:r w:rsidR="00450AAF">
        <w:t xml:space="preserve"> FACETs paradigm </w:t>
      </w:r>
      <w:r>
        <w:t>then becomes</w:t>
      </w:r>
      <w:r w:rsidR="00450AAF">
        <w:t xml:space="preserve"> </w:t>
      </w:r>
      <w:r w:rsidR="00515A96">
        <w:t>developing a continuous flow of information</w:t>
      </w:r>
      <w:r w:rsidR="006203CB">
        <w:t xml:space="preserve"> while maintaining the</w:t>
      </w:r>
      <w:r w:rsidR="00F515A7">
        <w:t xml:space="preserve"> current </w:t>
      </w:r>
      <w:r w:rsidR="0076414F">
        <w:t xml:space="preserve">product structure of </w:t>
      </w:r>
      <w:r w:rsidR="00515A96">
        <w:t>discrete</w:t>
      </w:r>
      <w:r w:rsidR="00450AAF">
        <w:t xml:space="preserve"> forecasts. </w:t>
      </w:r>
      <w:r w:rsidR="00F515A7">
        <w:t>Currently, a</w:t>
      </w:r>
      <w:r w:rsidR="00450AAF">
        <w:t xml:space="preserve"> </w:t>
      </w:r>
      <w:r w:rsidR="0092591D">
        <w:t>multi-hour information</w:t>
      </w:r>
      <w:r w:rsidR="00F515A7">
        <w:t xml:space="preserve"> </w:t>
      </w:r>
      <w:r w:rsidR="00450AAF">
        <w:t xml:space="preserve">gap </w:t>
      </w:r>
      <w:r w:rsidR="0092591D">
        <w:t>may exist</w:t>
      </w:r>
      <w:r w:rsidR="00450AAF">
        <w:t xml:space="preserve"> between the convective outlook and the first (if any) mesoscale discussion or watch</w:t>
      </w:r>
      <w:r w:rsidR="0092591D">
        <w:t>, depending on the day</w:t>
      </w:r>
      <w:r w:rsidR="00450AAF">
        <w:t xml:space="preserve">. </w:t>
      </w:r>
      <w:r w:rsidR="009B59B7">
        <w:t>Although many NWS forecast offices</w:t>
      </w:r>
      <w:r w:rsidR="00F515A7">
        <w:t xml:space="preserve"> provide</w:t>
      </w:r>
      <w:r w:rsidR="009B59B7">
        <w:t xml:space="preserve"> information between these two products (often in the form of online or phone briefings and social media posts), there is currently no formalized product information </w:t>
      </w:r>
      <w:r w:rsidR="00F515A7">
        <w:t>available between the convective outlook and a mesoscale discussion or watch. One</w:t>
      </w:r>
      <w:r w:rsidR="00B1475E">
        <w:t xml:space="preserve"> </w:t>
      </w:r>
      <w:r w:rsidR="00F515A7">
        <w:t xml:space="preserve">of the </w:t>
      </w:r>
      <w:r w:rsidR="00B1475E">
        <w:t xml:space="preserve">proposed </w:t>
      </w:r>
      <w:r w:rsidR="00F515A7">
        <w:t xml:space="preserve">solutions to help remedy this information gap </w:t>
      </w:r>
      <w:r w:rsidR="00B1475E">
        <w:t xml:space="preserve">is to </w:t>
      </w:r>
      <w:r w:rsidR="001C55E1">
        <w:t xml:space="preserve">include </w:t>
      </w:r>
      <w:r w:rsidR="00F515A7">
        <w:t xml:space="preserve">the </w:t>
      </w:r>
      <w:r w:rsidR="001C55E1">
        <w:t>tim</w:t>
      </w:r>
      <w:r w:rsidR="00F515A7">
        <w:t>e frame</w:t>
      </w:r>
      <w:r w:rsidR="001C55E1">
        <w:t xml:space="preserve"> </w:t>
      </w:r>
      <w:r w:rsidR="00F515A7">
        <w:t>of severe weather a</w:t>
      </w:r>
      <w:r w:rsidR="001C55E1">
        <w:t xml:space="preserve">long with the </w:t>
      </w:r>
      <w:r w:rsidR="00F515A7">
        <w:t xml:space="preserve">probabilistic and categorical </w:t>
      </w:r>
      <w:r w:rsidR="001C55E1">
        <w:lastRenderedPageBreak/>
        <w:t xml:space="preserve">risk levels in the convective outlook. </w:t>
      </w:r>
      <w:r w:rsidR="00EA1130">
        <w:t>An</w:t>
      </w:r>
      <w:r w:rsidR="00450AAF">
        <w:t xml:space="preserve"> analysis of </w:t>
      </w:r>
      <w:r w:rsidR="00EA1130">
        <w:t xml:space="preserve">historical </w:t>
      </w:r>
      <w:r w:rsidR="00450AAF">
        <w:t xml:space="preserve">severe weather reports </w:t>
      </w:r>
      <w:r w:rsidR="001C55E1">
        <w:t>shows that a majority (greater than 95%) of daily reports occurring at a single location will occur within a 4-hour period (</w:t>
      </w:r>
      <w:proofErr w:type="spellStart"/>
      <w:r w:rsidR="001C55E1">
        <w:t>Krocak</w:t>
      </w:r>
      <w:proofErr w:type="spellEnd"/>
      <w:r w:rsidR="001C55E1">
        <w:t xml:space="preserve"> and Brooks 2017).</w:t>
      </w:r>
      <w:r w:rsidR="00EA1130">
        <w:t xml:space="preserve"> Currently, the SPC forecasts the probability of severe reports occurring within 25 miles of a location over a 24-hour period.</w:t>
      </w:r>
      <w:r w:rsidR="001C55E1">
        <w:t xml:space="preserve"> Since</w:t>
      </w:r>
      <w:r w:rsidR="00EA1130">
        <w:t xml:space="preserve"> the analysis above shows that a majority of reports within 25 miles of a location will occur in a smaller timeframe (4 hours),</w:t>
      </w:r>
      <w:r w:rsidR="001C55E1">
        <w:t xml:space="preserve"> the </w:t>
      </w:r>
      <w:r w:rsidR="00EA1130">
        <w:t>SPC could, in theory, provide information about that smaller timeframe (like when it will occur) without changing the definition of their probability forecasts.</w:t>
      </w:r>
      <w:r w:rsidR="001C55E1">
        <w:t xml:space="preserve"> </w:t>
      </w:r>
      <w:r>
        <w:t>For example, the SPC could provide the categorical risk (marginal, slight, enhanced, moderate, or high risk) and a 4-hour time frame (1-5 pm, 4-8 pm, etc.) for each location.</w:t>
      </w:r>
    </w:p>
    <w:p w14:paraId="321F0DA4" w14:textId="5DD810F4" w:rsidR="003D3FA7" w:rsidRDefault="003D3FA7" w:rsidP="00E61552">
      <w:pPr>
        <w:ind w:firstLine="720"/>
      </w:pPr>
      <w:r>
        <w:t xml:space="preserve">While there has been little work </w:t>
      </w:r>
      <w:r w:rsidR="00E00610">
        <w:t xml:space="preserve">conducted </w:t>
      </w:r>
      <w:r>
        <w:t xml:space="preserve">to understand response actions to </w:t>
      </w:r>
      <w:r w:rsidR="00255B38">
        <w:t>hours of advance notice before an event</w:t>
      </w:r>
      <w:r>
        <w:t xml:space="preserve">, there has been some work related to warning-scale response actions. </w:t>
      </w:r>
      <w:r w:rsidR="00F30228">
        <w:t xml:space="preserve">Most studies that ask participants about response actions consider immediate sheltering to be the most correct response (e.g. </w:t>
      </w:r>
      <w:proofErr w:type="spellStart"/>
      <w:r w:rsidR="00F30228">
        <w:t>Jauernic</w:t>
      </w:r>
      <w:proofErr w:type="spellEnd"/>
      <w:r w:rsidR="00F30228">
        <w:t xml:space="preserve"> and Van Den </w:t>
      </w:r>
      <w:proofErr w:type="spellStart"/>
      <w:r w:rsidR="00F30228">
        <w:t>Broeke</w:t>
      </w:r>
      <w:proofErr w:type="spellEnd"/>
      <w:r w:rsidR="00F30228">
        <w:t xml:space="preserve"> 201</w:t>
      </w:r>
      <w:r w:rsidR="00543017">
        <w:t>6</w:t>
      </w:r>
      <w:r w:rsidR="00F30228">
        <w:t xml:space="preserve">). When evaluating </w:t>
      </w:r>
      <w:r w:rsidR="00D00044">
        <w:t xml:space="preserve">the </w:t>
      </w:r>
      <w:r w:rsidR="00F30228">
        <w:t>factors</w:t>
      </w:r>
      <w:r w:rsidR="00D00044">
        <w:t xml:space="preserve"> that</w:t>
      </w:r>
      <w:r w:rsidR="00F30228">
        <w:t xml:space="preserve"> change response actions, studies </w:t>
      </w:r>
      <w:r w:rsidR="00E00610">
        <w:t>find that</w:t>
      </w:r>
      <w:r w:rsidR="00F30228">
        <w:t xml:space="preserve"> demographic characteristics </w:t>
      </w:r>
      <w:r w:rsidR="00414ABB">
        <w:t xml:space="preserve">such as education, age, and gender </w:t>
      </w:r>
      <w:r w:rsidR="00F30228">
        <w:t xml:space="preserve">can impact sheltering behaviors. </w:t>
      </w:r>
      <w:r w:rsidR="00414ABB">
        <w:t>Responsiveness increases until about 65 years, then decreases with age (Chaney et al. 2013), increases with education (</w:t>
      </w:r>
      <w:proofErr w:type="spellStart"/>
      <w:r w:rsidR="00414ABB">
        <w:t>Balluz</w:t>
      </w:r>
      <w:proofErr w:type="spellEnd"/>
      <w:r w:rsidR="00414ABB">
        <w:t xml:space="preserve"> et al. 2000), and women generally </w:t>
      </w:r>
      <w:r w:rsidR="00E00610">
        <w:t>seek</w:t>
      </w:r>
      <w:r w:rsidR="00266048">
        <w:t xml:space="preserve"> </w:t>
      </w:r>
      <w:r w:rsidR="00414ABB">
        <w:t xml:space="preserve">shelter more often than men (Ripberger et al. 2015). </w:t>
      </w:r>
    </w:p>
    <w:p w14:paraId="7FC09CE0" w14:textId="6E76A763" w:rsidR="00665C7C" w:rsidRDefault="00665C7C" w:rsidP="00C74AEE">
      <w:pPr>
        <w:ind w:firstLine="720"/>
      </w:pPr>
      <w:r>
        <w:t xml:space="preserve">Other factors that impact response behaviors include the wording of the actual product. Impact-based warnings include language that discusses the potential consequences of the event, including damages and loss of life. Studies </w:t>
      </w:r>
      <w:r w:rsidR="0006668F">
        <w:t>find</w:t>
      </w:r>
      <w:r>
        <w:t xml:space="preserve"> that this type of language increases response actions, including plans to shelter (Casteel 2016, Casteel 2018</w:t>
      </w:r>
      <w:r w:rsidR="00891BD1">
        <w:t>, Ripberger et al. 2015</w:t>
      </w:r>
      <w:r>
        <w:t xml:space="preserve">). However, studies </w:t>
      </w:r>
      <w:r w:rsidR="00E00610">
        <w:t>also find</w:t>
      </w:r>
      <w:r>
        <w:t xml:space="preserve"> that even when residents plan to shelter, that often is</w:t>
      </w:r>
      <w:r w:rsidR="00360DE1">
        <w:t xml:space="preserve"> </w:t>
      </w:r>
      <w:r>
        <w:t>n</w:t>
      </w:r>
      <w:r w:rsidR="00360DE1">
        <w:t>o</w:t>
      </w:r>
      <w:r>
        <w:t xml:space="preserve">t the first action they </w:t>
      </w:r>
      <w:r>
        <w:lastRenderedPageBreak/>
        <w:t>take</w:t>
      </w:r>
      <w:r w:rsidR="006E6FCD">
        <w:t xml:space="preserve"> because </w:t>
      </w:r>
      <w:r w:rsidR="00E00610">
        <w:t>they</w:t>
      </w:r>
      <w:r>
        <w:t xml:space="preserve"> will </w:t>
      </w:r>
      <w:r w:rsidR="006E6FCD">
        <w:t xml:space="preserve">often </w:t>
      </w:r>
      <w:r>
        <w:t>confirm warning information from multiple sources (</w:t>
      </w:r>
      <w:proofErr w:type="spellStart"/>
      <w:r>
        <w:t>Jauernic</w:t>
      </w:r>
      <w:proofErr w:type="spellEnd"/>
      <w:r>
        <w:t xml:space="preserve"> and Van Den </w:t>
      </w:r>
      <w:proofErr w:type="spellStart"/>
      <w:r>
        <w:t>Broeke</w:t>
      </w:r>
      <w:proofErr w:type="spellEnd"/>
      <w:r>
        <w:t xml:space="preserve"> 201</w:t>
      </w:r>
      <w:r w:rsidR="00964F94">
        <w:t>6</w:t>
      </w:r>
      <w:r>
        <w:t>)</w:t>
      </w:r>
      <w:r w:rsidR="006E6FCD">
        <w:t xml:space="preserve">.  </w:t>
      </w:r>
    </w:p>
    <w:p w14:paraId="7BBEF0A4" w14:textId="703B7E06" w:rsidR="005D62C6" w:rsidRDefault="005D62C6" w:rsidP="00C74AEE">
      <w:pPr>
        <w:ind w:firstLine="720"/>
      </w:pPr>
      <w:r>
        <w:t xml:space="preserve">Finally, many studies </w:t>
      </w:r>
      <w:r w:rsidR="00E00610">
        <w:t>attempt</w:t>
      </w:r>
      <w:r>
        <w:t xml:space="preserve"> to measure </w:t>
      </w:r>
      <w:r w:rsidR="00266048">
        <w:t>what fraction</w:t>
      </w:r>
      <w:r>
        <w:t xml:space="preserve"> </w:t>
      </w:r>
      <w:r w:rsidR="00D00044">
        <w:t xml:space="preserve">of </w:t>
      </w:r>
      <w:r>
        <w:t xml:space="preserve">participants </w:t>
      </w:r>
      <w:r w:rsidR="0006668F">
        <w:t>respond</w:t>
      </w:r>
      <w:r>
        <w:t xml:space="preserve"> to tornado warnings. Some include interviews </w:t>
      </w:r>
      <w:r w:rsidR="002A724C">
        <w:t>after actual tornado events</w:t>
      </w:r>
      <w:r>
        <w:t xml:space="preserve"> and f</w:t>
      </w:r>
      <w:r w:rsidR="00E00610">
        <w:t xml:space="preserve">ind </w:t>
      </w:r>
      <w:r>
        <w:t xml:space="preserve">that anywhere from 43% to 79% of residents </w:t>
      </w:r>
      <w:proofErr w:type="gramStart"/>
      <w:r>
        <w:t>t</w:t>
      </w:r>
      <w:r w:rsidR="00E00610">
        <w:t>ake</w:t>
      </w:r>
      <w:r>
        <w:t xml:space="preserve"> action</w:t>
      </w:r>
      <w:proofErr w:type="gramEnd"/>
      <w:r>
        <w:t>, depending on the region where the event occurred (</w:t>
      </w:r>
      <w:proofErr w:type="spellStart"/>
      <w:r>
        <w:t>Balluz</w:t>
      </w:r>
      <w:proofErr w:type="spellEnd"/>
      <w:r>
        <w:t xml:space="preserve"> et al. 2000, </w:t>
      </w:r>
      <w:proofErr w:type="spellStart"/>
      <w:r>
        <w:t>Miran</w:t>
      </w:r>
      <w:proofErr w:type="spellEnd"/>
      <w:r>
        <w:t xml:space="preserve"> et al. 2018, Chaney et al. 2013). Studies that measure hypothetical situations find higher response rates, with anywhere from 75% to 90% of respondents claiming they will </w:t>
      </w:r>
      <w:proofErr w:type="gramStart"/>
      <w:r>
        <w:t>take action</w:t>
      </w:r>
      <w:proofErr w:type="gramEnd"/>
      <w:r>
        <w:t xml:space="preserve"> during a future event (</w:t>
      </w:r>
      <w:r w:rsidRPr="00CF3959">
        <w:t>Schultz et al. 2010</w:t>
      </w:r>
      <w:r w:rsidR="00964F94">
        <w:t>,</w:t>
      </w:r>
      <w:r w:rsidRPr="00CF3959">
        <w:t xml:space="preserve"> Lindell et al. 201</w:t>
      </w:r>
      <w:r>
        <w:t>6</w:t>
      </w:r>
      <w:r w:rsidR="00964F94">
        <w:t>,</w:t>
      </w:r>
      <w:r w:rsidRPr="00CF3959">
        <w:t xml:space="preserve"> Ripberger et al. 2015</w:t>
      </w:r>
      <w:r>
        <w:t>).</w:t>
      </w:r>
      <w:r w:rsidR="009D0D49">
        <w:t xml:space="preserve"> </w:t>
      </w:r>
    </w:p>
    <w:p w14:paraId="3A5CEA87" w14:textId="59DDE6EC" w:rsidR="009D0D49" w:rsidRDefault="009D0D49" w:rsidP="00C74AEE">
      <w:pPr>
        <w:ind w:firstLine="720"/>
      </w:pPr>
      <w:r>
        <w:t xml:space="preserve">There is a fundamental difference between </w:t>
      </w:r>
      <w:r w:rsidR="00255B38">
        <w:t>response actions for minutes of advance notice and those for hours of advance notice</w:t>
      </w:r>
      <w:r>
        <w:t xml:space="preserve">. </w:t>
      </w:r>
      <w:r w:rsidR="0076414F">
        <w:t xml:space="preserve">Some </w:t>
      </w:r>
      <w:r w:rsidR="007E5A76">
        <w:t xml:space="preserve">research </w:t>
      </w:r>
      <w:r w:rsidR="00E00610">
        <w:t>suggests</w:t>
      </w:r>
      <w:r w:rsidR="0076414F">
        <w:t xml:space="preserve"> there is a threshold of “too much” lead time</w:t>
      </w:r>
      <w:r w:rsidR="002B12E9">
        <w:t xml:space="preserve"> on warning scales</w:t>
      </w:r>
      <w:r w:rsidR="0076414F">
        <w:t xml:space="preserve">, or a point at which the threat no longer seems </w:t>
      </w:r>
      <w:r w:rsidR="00543017">
        <w:t>imminent</w:t>
      </w:r>
      <w:r w:rsidR="0076414F">
        <w:t xml:space="preserve"> and </w:t>
      </w:r>
      <w:r w:rsidR="00E00610">
        <w:t>residents</w:t>
      </w:r>
      <w:r w:rsidR="0076414F">
        <w:t xml:space="preserve"> don’t immediately head to shelter (e.g. Hoekstra et al. 2011, </w:t>
      </w:r>
      <w:r w:rsidR="003A56C0">
        <w:t xml:space="preserve">Doswell 1999, </w:t>
      </w:r>
      <w:r w:rsidR="0076414F">
        <w:t xml:space="preserve">Ewald and Guyer 2002). </w:t>
      </w:r>
      <w:r w:rsidR="00235399">
        <w:t xml:space="preserve">In fact, one particular study </w:t>
      </w:r>
      <w:r w:rsidR="008909C2">
        <w:t xml:space="preserve">finds </w:t>
      </w:r>
      <w:r w:rsidR="00235399">
        <w:t>that lead times of over 15 minutes increase the number of fatalities compared to an unwarned tornado (Simmons and Sutter 2011). However</w:t>
      </w:r>
      <w:r w:rsidR="0076414F">
        <w:t>, while sheltering may be one of the only r</w:t>
      </w:r>
      <w:r w:rsidR="0037539F">
        <w:t>easonable action</w:t>
      </w:r>
      <w:r w:rsidR="0076414F">
        <w:t>s</w:t>
      </w:r>
      <w:r>
        <w:t xml:space="preserve"> given 15 - 30 minutes of </w:t>
      </w:r>
      <w:r w:rsidR="00255B38">
        <w:t>notice</w:t>
      </w:r>
      <w:r w:rsidR="0076414F">
        <w:t xml:space="preserve">, there is a myriad of other actions that become more reasonable </w:t>
      </w:r>
      <w:r>
        <w:t xml:space="preserve">given hours of </w:t>
      </w:r>
      <w:r w:rsidR="00255B38">
        <w:t>notice</w:t>
      </w:r>
      <w:r>
        <w:t xml:space="preserve"> (i.e. </w:t>
      </w:r>
      <w:r w:rsidR="002B12E9">
        <w:t xml:space="preserve">leaving the area, monitoring the situation, preparing </w:t>
      </w:r>
      <w:r w:rsidR="008909C2">
        <w:t xml:space="preserve">their </w:t>
      </w:r>
      <w:r w:rsidR="002B12E9">
        <w:t>home and family</w:t>
      </w:r>
      <w:r>
        <w:t>)</w:t>
      </w:r>
      <w:r w:rsidR="00235399">
        <w:t xml:space="preserve"> that would in theory set other protective actions in motion (like preparing the shelter or important documents)</w:t>
      </w:r>
      <w:r>
        <w:t xml:space="preserve">. </w:t>
      </w:r>
      <w:r w:rsidR="006E1B2E">
        <w:t>This</w:t>
      </w:r>
      <w:r>
        <w:t xml:space="preserve"> </w:t>
      </w:r>
      <w:r w:rsidR="00DB5E75">
        <w:t xml:space="preserve">study </w:t>
      </w:r>
      <w:r>
        <w:t xml:space="preserve">aims to identify the actions individuals believe </w:t>
      </w:r>
      <w:r w:rsidR="00B75296">
        <w:t xml:space="preserve">they will take given hours of </w:t>
      </w:r>
      <w:r w:rsidR="00255B38">
        <w:t>advance notice for a tornadic event</w:t>
      </w:r>
      <w:r w:rsidR="00B75296">
        <w:t>, and if (how) those actions change given either four or eight hours</w:t>
      </w:r>
      <w:r w:rsidR="002B12E9">
        <w:t xml:space="preserve"> of notice</w:t>
      </w:r>
      <w:r w:rsidR="00B75296">
        <w:t xml:space="preserve">. </w:t>
      </w:r>
    </w:p>
    <w:p w14:paraId="283E245D" w14:textId="77777777" w:rsidR="003239B4" w:rsidRPr="00E06311" w:rsidRDefault="003239B4" w:rsidP="003239B4"/>
    <w:p w14:paraId="7305D4EE" w14:textId="77777777" w:rsidR="007B43FD" w:rsidRDefault="007B43FD" w:rsidP="007B43FD">
      <w:pPr>
        <w:pStyle w:val="Heading1"/>
      </w:pPr>
      <w:r w:rsidRPr="00E06311">
        <w:t>Data and Methods</w:t>
      </w:r>
      <w:bookmarkEnd w:id="4"/>
    </w:p>
    <w:p w14:paraId="0B33251D" w14:textId="33EE3C59" w:rsidR="00576120" w:rsidRPr="009061F8" w:rsidRDefault="00576120" w:rsidP="00576120">
      <w:pPr>
        <w:rPr>
          <w:i/>
        </w:rPr>
      </w:pPr>
      <w:r w:rsidRPr="009061F8">
        <w:rPr>
          <w:i/>
        </w:rPr>
        <w:t>a. Survey Data</w:t>
      </w:r>
    </w:p>
    <w:p w14:paraId="11E22F83" w14:textId="73509FB5" w:rsidR="00576120" w:rsidRDefault="00576120" w:rsidP="008D507B">
      <w:pPr>
        <w:ind w:firstLine="720"/>
      </w:pPr>
      <w:r>
        <w:lastRenderedPageBreak/>
        <w:t xml:space="preserve">The </w:t>
      </w:r>
      <w:r w:rsidR="00466485">
        <w:t>University of Oklahoma Center for Risk and Crisis Management (CRCM)</w:t>
      </w:r>
      <w:r>
        <w:t xml:space="preserve"> fields a</w:t>
      </w:r>
      <w:r w:rsidR="00774D10">
        <w:t xml:space="preserve"> national</w:t>
      </w:r>
      <w:r>
        <w:t xml:space="preserve"> survey </w:t>
      </w:r>
      <w:r w:rsidR="00774D10">
        <w:t xml:space="preserve">to </w:t>
      </w:r>
      <w:r>
        <w:t xml:space="preserve">analyze public reception, comprehension, and response to severe weather forecast products </w:t>
      </w:r>
      <w:r w:rsidRPr="007B1F9D">
        <w:t xml:space="preserve">(Silva et al. 2017, Silva et al. 2018). </w:t>
      </w:r>
      <w:r w:rsidRPr="00576120">
        <w:t>This survey</w:t>
      </w:r>
      <w:r>
        <w:t>, called the Severe Weather and Society Survey,</w:t>
      </w:r>
      <w:r w:rsidR="00774D10">
        <w:t xml:space="preserve"> has been fielded in 2017 and 2018, with plans to field it again in 2019. It utilizes an online format with</w:t>
      </w:r>
      <w:r>
        <w:t xml:space="preserve"> a sample of </w:t>
      </w:r>
      <w:r w:rsidR="00E846CE">
        <w:t xml:space="preserve">US adults (age 18+) </w:t>
      </w:r>
      <w:r>
        <w:t xml:space="preserve">provided by Qualtrics, which maintains a large pool of </w:t>
      </w:r>
      <w:r w:rsidR="00E846CE">
        <w:t xml:space="preserve">participants </w:t>
      </w:r>
      <w:r>
        <w:t xml:space="preserve">that agree to take internet surveys. </w:t>
      </w:r>
      <w:r w:rsidR="008D507B">
        <w:t>There were 2000 respondents in 2017 and 3000 in 2018 (the survey used in this study).  R</w:t>
      </w:r>
      <w:r w:rsidR="00774D10">
        <w:t xml:space="preserve">espondents generally took around 25 minutes to complete the </w:t>
      </w:r>
      <w:r w:rsidR="00D00044">
        <w:t>survey and</w:t>
      </w:r>
      <w:r w:rsidR="00774D10">
        <w:t xml:space="preserve"> were compensated for their time. Dynamic sampling was employed, meaning participants were asked demographic questions before taking the survey</w:t>
      </w:r>
      <w:r w:rsidR="00D14515">
        <w:t xml:space="preserve">, and were not asked to complete the survey if their demographic profile was already well-represented by the current pool of respondents. This process was used to ensure </w:t>
      </w:r>
      <w:r w:rsidR="00774D10">
        <w:t xml:space="preserve">that the sample population was as representative of the US </w:t>
      </w:r>
      <w:r w:rsidR="00466485">
        <w:t xml:space="preserve">population </w:t>
      </w:r>
      <w:r w:rsidR="00774D10">
        <w:t xml:space="preserve">as it could be. After the survey was fielded, responses were also weighted according to US </w:t>
      </w:r>
      <w:r w:rsidR="005B1FF1">
        <w:t>Census estimates</w:t>
      </w:r>
      <w:r w:rsidR="00774D10">
        <w:t xml:space="preserve">, </w:t>
      </w:r>
      <w:r w:rsidR="008D507B">
        <w:t xml:space="preserve">further </w:t>
      </w:r>
      <w:r w:rsidR="00774D10">
        <w:t xml:space="preserve">ensuring </w:t>
      </w:r>
      <w:r w:rsidR="00964F94">
        <w:t>the</w:t>
      </w:r>
      <w:r w:rsidR="00774D10">
        <w:t xml:space="preserve"> results were </w:t>
      </w:r>
      <w:r w:rsidR="00C4598B">
        <w:t xml:space="preserve">demographically </w:t>
      </w:r>
      <w:r w:rsidR="00774D10">
        <w:t>representative</w:t>
      </w:r>
      <w:r w:rsidR="00C4598B">
        <w:t xml:space="preserve"> of the population.</w:t>
      </w:r>
    </w:p>
    <w:p w14:paraId="28B9179D" w14:textId="0CAEA4E9" w:rsidR="008D507B" w:rsidRDefault="008D507B" w:rsidP="001E1079">
      <w:r>
        <w:tab/>
        <w:t>One of the many unique aspects of the Severe Weather and Society Survey (hereafter WX17 and WX18 for the 2017 and 2018 rounds, respectively), is th</w:t>
      </w:r>
      <w:r w:rsidR="00964F94">
        <w:t>at there are</w:t>
      </w:r>
      <w:r>
        <w:t xml:space="preserve"> two different types of questions employed. Some questions are recurring, where researchers attempt to establish a baseline of severe weather knowledge and response actions. Other questions rotate in and out, depending on what experiments researchers are interested in conducting each year. Although there were nearly 100 questions total on WX18, this study uses data from just a few different rotating questions to establish how </w:t>
      </w:r>
      <w:r w:rsidR="00255B38">
        <w:t>more advance notice for the event</w:t>
      </w:r>
      <w:r>
        <w:t xml:space="preserve"> (order of hours, not minutes) impact</w:t>
      </w:r>
      <w:r w:rsidR="00255B38">
        <w:t>s</w:t>
      </w:r>
      <w:r>
        <w:t xml:space="preserve"> tornado preparation and response actions.</w:t>
      </w:r>
      <w:r w:rsidR="001E1079">
        <w:t xml:space="preserve"> </w:t>
      </w:r>
    </w:p>
    <w:p w14:paraId="4950AD52" w14:textId="6464F901" w:rsidR="008D507B" w:rsidRDefault="008D507B" w:rsidP="001E1079">
      <w:r>
        <w:lastRenderedPageBreak/>
        <w:tab/>
        <w:t>The specific questions used in this study were open ended, meaning respondents could enter whatever information they like, and the responsibility to interpret their responses was placed on the researchers. Respondents were asked to describe what they</w:t>
      </w:r>
      <w:r w:rsidR="00F30680">
        <w:t xml:space="preserve"> would</w:t>
      </w:r>
      <w:r>
        <w:t xml:space="preserve"> do given the knowledge that a large and dangerous tornado would impact their location in either four or eight hours. </w:t>
      </w:r>
      <w:r w:rsidR="00E846CE">
        <w:t xml:space="preserve">The amount of </w:t>
      </w:r>
      <w:r w:rsidR="00255B38">
        <w:t>advance notice</w:t>
      </w:r>
      <w:r w:rsidR="00E846CE">
        <w:t xml:space="preserve"> was assigned randomly to each participant</w:t>
      </w:r>
      <w:r w:rsidR="00FB12D3">
        <w:t>, resulting in 1500 responses</w:t>
      </w:r>
      <w:r w:rsidR="00255B38">
        <w:t xml:space="preserve"> to four hours of advance notice and 1500 responses to eight hours of advance notice</w:t>
      </w:r>
      <w:r w:rsidR="00E846CE">
        <w:t xml:space="preserve">. </w:t>
      </w:r>
      <w:r w:rsidR="00183E54">
        <w:t xml:space="preserve">Time of day was held constant at 9:00 AM to ensure that all respondents were anchoring to the same time of day and the activities that correspond with that time of day. </w:t>
      </w:r>
      <w:r w:rsidR="00333DD5">
        <w:t xml:space="preserve">After removing unusable responses (e.g. blank responses, random letters/characters), we were left with 1392 responses in the </w:t>
      </w:r>
      <w:r w:rsidR="009C763C">
        <w:t>4</w:t>
      </w:r>
      <w:r w:rsidR="00183E54">
        <w:t xml:space="preserve">-hour category and 1404 responses in the </w:t>
      </w:r>
      <w:r w:rsidR="009C763C">
        <w:t>8</w:t>
      </w:r>
      <w:r w:rsidR="00183E54">
        <w:t xml:space="preserve">-hour category for analysis. </w:t>
      </w:r>
      <w:r>
        <w:t xml:space="preserve">Differences in responses were compared to identify how the shift from </w:t>
      </w:r>
      <w:r w:rsidR="00255B38">
        <w:t>four hours of notice to eight hours of notice</w:t>
      </w:r>
      <w:r>
        <w:t xml:space="preserve"> would impact response actions. The exact wording of the survey question is noted below. </w:t>
      </w:r>
    </w:p>
    <w:p w14:paraId="5BBCA1C1" w14:textId="77777777" w:rsidR="00E846CE" w:rsidRDefault="00E846CE" w:rsidP="006E6FCD">
      <w:pPr>
        <w:rPr>
          <w:i/>
        </w:rPr>
      </w:pPr>
    </w:p>
    <w:p w14:paraId="4D6D2F9F" w14:textId="2D772249" w:rsidR="008D507B" w:rsidRPr="00E846CE" w:rsidRDefault="00E846CE" w:rsidP="00E846CE">
      <w:pPr>
        <w:jc w:val="center"/>
        <w:rPr>
          <w:i/>
        </w:rPr>
      </w:pPr>
      <w:r w:rsidRPr="00E846CE">
        <w:rPr>
          <w:i/>
        </w:rPr>
        <w:t>Imagine that it is 9:00 AM tomorrow morning and you are somewhat confident that a large tornado will hit your location in the next [RANDOMIZE</w:t>
      </w:r>
      <w:r>
        <w:rPr>
          <w:i/>
        </w:rPr>
        <w:t xml:space="preserve">: </w:t>
      </w:r>
      <w:r w:rsidRPr="00E846CE">
        <w:rPr>
          <w:i/>
        </w:rPr>
        <w:t>4 | 8 hours]. What would you do? Please be as specific as possible.</w:t>
      </w:r>
    </w:p>
    <w:p w14:paraId="5217D932" w14:textId="77777777" w:rsidR="001E1079" w:rsidRDefault="001E1079" w:rsidP="001E1079"/>
    <w:p w14:paraId="59A82926" w14:textId="57FD97DE" w:rsidR="00576120" w:rsidRDefault="001E1079" w:rsidP="00250235">
      <w:pPr>
        <w:ind w:firstLine="720"/>
        <w:rPr>
          <w:lang w:bidi="ar-SA"/>
        </w:rPr>
      </w:pPr>
      <w:r>
        <w:t xml:space="preserve">Consistent with previous studies (e.g. Schultz et al. 2010 and Ripberger et al. 2015), we use intended response actions as a proxy for actual response actions in this </w:t>
      </w:r>
      <w:r w:rsidR="00250235">
        <w:t>analysis</w:t>
      </w:r>
      <w:r>
        <w:t>. While there is little work that analyzes the relationship between intended and actual response actions to tornado</w:t>
      </w:r>
      <w:r w:rsidR="00450228">
        <w:t xml:space="preserve"> warnings</w:t>
      </w:r>
      <w:r>
        <w:t xml:space="preserve">, there has been extensive work relating intended and actual behavior in other fields (e.g. Armitage and Connor 2001). </w:t>
      </w:r>
      <w:r w:rsidR="00250235">
        <w:t xml:space="preserve">This work shows that there is a significant link between </w:t>
      </w:r>
      <w:r w:rsidR="00250235">
        <w:lastRenderedPageBreak/>
        <w:t xml:space="preserve">intended and actual behavior, even when an individual is </w:t>
      </w:r>
      <w:r w:rsidR="00526E7C">
        <w:t xml:space="preserve">in a </w:t>
      </w:r>
      <w:r w:rsidR="00250235">
        <w:t xml:space="preserve">high stress situation (Kang et al. 2007). While it may not be a perfect proxy, we </w:t>
      </w:r>
      <w:r w:rsidR="00AE79DA">
        <w:t xml:space="preserve">believe </w:t>
      </w:r>
      <w:r w:rsidR="00250235">
        <w:t xml:space="preserve">that our results provide some insight into </w:t>
      </w:r>
      <w:r w:rsidR="00AE79DA">
        <w:t xml:space="preserve">what </w:t>
      </w:r>
      <w:r w:rsidR="00250235">
        <w:t xml:space="preserve">response actions </w:t>
      </w:r>
      <w:r w:rsidR="00AE79DA">
        <w:t>might be given hours of advance notice</w:t>
      </w:r>
      <w:r w:rsidR="00113FA1">
        <w:t xml:space="preserve"> for a possible tornado</w:t>
      </w:r>
      <w:r w:rsidR="00250235">
        <w:t xml:space="preserve">.  </w:t>
      </w:r>
    </w:p>
    <w:p w14:paraId="662D0D72" w14:textId="77777777" w:rsidR="001E1079" w:rsidRDefault="001E1079" w:rsidP="00576120"/>
    <w:p w14:paraId="75AED118" w14:textId="3BF6A211" w:rsidR="00576120" w:rsidRPr="009061F8" w:rsidRDefault="00576120" w:rsidP="00576120">
      <w:pPr>
        <w:rPr>
          <w:i/>
        </w:rPr>
      </w:pPr>
      <w:r w:rsidRPr="009061F8">
        <w:rPr>
          <w:i/>
        </w:rPr>
        <w:t>b. Response treatment</w:t>
      </w:r>
    </w:p>
    <w:p w14:paraId="269F5CCE" w14:textId="78F1DC6A" w:rsidR="005B6445" w:rsidRDefault="00693BD3" w:rsidP="00576120">
      <w:r>
        <w:tab/>
      </w:r>
      <w:r w:rsidR="000A66C7">
        <w:t>After fielding the survey, responses were</w:t>
      </w:r>
      <w:r>
        <w:t xml:space="preserve"> divided into the </w:t>
      </w:r>
      <w:proofErr w:type="gramStart"/>
      <w:r>
        <w:t xml:space="preserve">two </w:t>
      </w:r>
      <w:r w:rsidR="00591283">
        <w:t>time</w:t>
      </w:r>
      <w:proofErr w:type="gramEnd"/>
      <w:r>
        <w:t xml:space="preserve"> categories (4-hours and 8-hours) for further analysis. We beg</w:t>
      </w:r>
      <w:r w:rsidR="000A66C7">
        <w:t>in</w:t>
      </w:r>
      <w:r>
        <w:t xml:space="preserve"> </w:t>
      </w:r>
      <w:r w:rsidR="00FF695D">
        <w:t xml:space="preserve">by comparing key word usage across the time categories. We do this by identifying the most common words that participants used and then compare the </w:t>
      </w:r>
      <w:r w:rsidR="008B068A">
        <w:t>percentage</w:t>
      </w:r>
      <w:r w:rsidR="00FF695D">
        <w:t xml:space="preserve"> of respondents that used each word across the time categories. </w:t>
      </w:r>
      <w:r w:rsidR="008D096A">
        <w:t xml:space="preserve">For example, the </w:t>
      </w:r>
      <w:r w:rsidR="008B068A">
        <w:t>percentage</w:t>
      </w:r>
      <w:r w:rsidR="00380065">
        <w:t xml:space="preserve"> of responses that contain the word “shelter” in the 4-hour category </w:t>
      </w:r>
      <w:r w:rsidR="000A66C7">
        <w:t xml:space="preserve">is </w:t>
      </w:r>
      <w:r w:rsidR="00380065">
        <w:t>calculated as</w:t>
      </w:r>
      <w:r w:rsidR="005B6445">
        <w:t>:</w:t>
      </w:r>
    </w:p>
    <w:p w14:paraId="1457DD44" w14:textId="528A1165" w:rsidR="005B6445" w:rsidRPr="008B068A" w:rsidRDefault="00A80038" w:rsidP="00490C0E">
      <w:pPr>
        <w:jc w:val="center"/>
        <w:rPr>
          <w:i/>
        </w:rPr>
      </w:pPr>
      <w:proofErr w:type="spellStart"/>
      <w:r w:rsidRPr="00490C0E">
        <w:rPr>
          <w:i/>
        </w:rPr>
        <w:t>p</w:t>
      </w:r>
      <w:r w:rsidRPr="00490C0E">
        <w:rPr>
          <w:i/>
          <w:vertAlign w:val="subscript"/>
        </w:rPr>
        <w:t>shelter</w:t>
      </w:r>
      <w:proofErr w:type="spellEnd"/>
      <w:r w:rsidRPr="00490C0E">
        <w:rPr>
          <w:i/>
          <w:vertAlign w:val="subscript"/>
        </w:rPr>
        <w:t>, 4hours</w:t>
      </w:r>
      <w:r w:rsidRPr="00490C0E">
        <w:rPr>
          <w:i/>
        </w:rPr>
        <w:t xml:space="preserve"> =</w:t>
      </w:r>
      <w:r w:rsidR="00380065" w:rsidRPr="00490C0E">
        <w:rPr>
          <w:i/>
        </w:rPr>
        <w:t xml:space="preserve"> </w:t>
      </w:r>
      <w:r w:rsidR="00820FB6">
        <w:rPr>
          <w:i/>
        </w:rPr>
        <w:t>(</w:t>
      </w:r>
      <w:proofErr w:type="spellStart"/>
      <w:r w:rsidR="00380065" w:rsidRPr="00490C0E">
        <w:rPr>
          <w:i/>
        </w:rPr>
        <w:t>n</w:t>
      </w:r>
      <w:r w:rsidR="00380065" w:rsidRPr="00490C0E">
        <w:rPr>
          <w:i/>
          <w:vertAlign w:val="subscript"/>
        </w:rPr>
        <w:t>shelter</w:t>
      </w:r>
      <w:proofErr w:type="spellEnd"/>
      <w:r w:rsidR="00161D1B">
        <w:rPr>
          <w:i/>
          <w:vertAlign w:val="subscript"/>
        </w:rPr>
        <w:t>, 4hours</w:t>
      </w:r>
      <w:r w:rsidR="00380065" w:rsidRPr="00490C0E">
        <w:rPr>
          <w:i/>
          <w:vertAlign w:val="subscript"/>
        </w:rPr>
        <w:t xml:space="preserve"> </w:t>
      </w:r>
      <w:r w:rsidR="00380065" w:rsidRPr="00490C0E">
        <w:rPr>
          <w:i/>
        </w:rPr>
        <w:t>/ n</w:t>
      </w:r>
      <w:r w:rsidR="00380065" w:rsidRPr="00490C0E">
        <w:rPr>
          <w:i/>
          <w:vertAlign w:val="subscript"/>
        </w:rPr>
        <w:t>4</w:t>
      </w:r>
      <w:r w:rsidR="00161D1B">
        <w:rPr>
          <w:i/>
          <w:vertAlign w:val="subscript"/>
        </w:rPr>
        <w:t>hours</w:t>
      </w:r>
      <w:r w:rsidR="008B068A">
        <w:rPr>
          <w:i/>
        </w:rPr>
        <w:t>) *</w:t>
      </w:r>
      <w:r w:rsidR="00820FB6">
        <w:rPr>
          <w:i/>
        </w:rPr>
        <w:t xml:space="preserve"> 100</w:t>
      </w:r>
    </w:p>
    <w:p w14:paraId="6DCA078F" w14:textId="1904F5FD" w:rsidR="005B6445" w:rsidRDefault="00380065" w:rsidP="00576120">
      <w:r>
        <w:t xml:space="preserve">where </w:t>
      </w:r>
      <w:proofErr w:type="spellStart"/>
      <w:r>
        <w:t>n</w:t>
      </w:r>
      <w:r w:rsidRPr="00AA617C">
        <w:rPr>
          <w:vertAlign w:val="subscript"/>
        </w:rPr>
        <w:t>shelter</w:t>
      </w:r>
      <w:proofErr w:type="spellEnd"/>
      <w:r w:rsidR="00235399">
        <w:rPr>
          <w:vertAlign w:val="subscript"/>
        </w:rPr>
        <w:t>, 4hours</w:t>
      </w:r>
      <w:r>
        <w:t xml:space="preserve"> is the number of responses in the 4-hour category that contain the word “shelter” and n</w:t>
      </w:r>
      <w:r w:rsidRPr="00AA617C">
        <w:rPr>
          <w:vertAlign w:val="subscript"/>
        </w:rPr>
        <w:t>4h</w:t>
      </w:r>
      <w:r w:rsidR="00235399">
        <w:rPr>
          <w:vertAlign w:val="subscript"/>
        </w:rPr>
        <w:t>ours</w:t>
      </w:r>
      <w:r>
        <w:t xml:space="preserve"> is the total number of respondents that were given 4-hours of </w:t>
      </w:r>
      <w:r w:rsidR="00591283">
        <w:t>notice</w:t>
      </w:r>
      <w:r>
        <w:t xml:space="preserve"> in their response prompt</w:t>
      </w:r>
      <w:r w:rsidR="00C46C6C">
        <w:t xml:space="preserve">. After those </w:t>
      </w:r>
      <w:r w:rsidR="008B068A">
        <w:t>percentages</w:t>
      </w:r>
      <w:r w:rsidR="00C46C6C">
        <w:t xml:space="preserve"> </w:t>
      </w:r>
      <w:r w:rsidR="000A66C7">
        <w:t xml:space="preserve">are </w:t>
      </w:r>
      <w:r w:rsidR="00C46C6C">
        <w:t>calculated, the difference</w:t>
      </w:r>
      <w:r w:rsidR="00A80038">
        <w:t xml:space="preserve"> </w:t>
      </w:r>
      <w:r w:rsidR="00C46C6C">
        <w:t>in word use between 4-hour</w:t>
      </w:r>
      <w:r w:rsidR="00591283">
        <w:t xml:space="preserve">s </w:t>
      </w:r>
      <w:r w:rsidR="00C46C6C">
        <w:t>and 8-hour</w:t>
      </w:r>
      <w:r w:rsidR="00591283">
        <w:t>s</w:t>
      </w:r>
      <w:r w:rsidR="00C46C6C">
        <w:t xml:space="preserve"> </w:t>
      </w:r>
      <w:r w:rsidR="000A66C7">
        <w:t>is</w:t>
      </w:r>
      <w:r w:rsidR="00C46C6C">
        <w:t xml:space="preserve"> calculated</w:t>
      </w:r>
      <w:r w:rsidR="00A80038">
        <w:t xml:space="preserve"> by subtracting the </w:t>
      </w:r>
      <w:r w:rsidR="008B068A">
        <w:t>percentage</w:t>
      </w:r>
      <w:r w:rsidR="00A80038">
        <w:t xml:space="preserve"> of word use in the 4-hour category from the </w:t>
      </w:r>
      <w:r w:rsidR="008B068A">
        <w:t>percentage</w:t>
      </w:r>
      <w:r w:rsidR="00A80038">
        <w:t xml:space="preserve"> of word use in the 8-hour category</w:t>
      </w:r>
      <w:r w:rsidR="005B6445">
        <w:t>:</w:t>
      </w:r>
    </w:p>
    <w:p w14:paraId="63257CE9" w14:textId="407030A0" w:rsidR="00C46C6C" w:rsidRPr="00490C0E" w:rsidRDefault="00A80038" w:rsidP="00490C0E">
      <w:pPr>
        <w:jc w:val="center"/>
        <w:rPr>
          <w:i/>
        </w:rPr>
      </w:pPr>
      <w:proofErr w:type="spellStart"/>
      <w:r w:rsidRPr="00490C0E">
        <w:rPr>
          <w:i/>
        </w:rPr>
        <w:t>d</w:t>
      </w:r>
      <w:r w:rsidRPr="00490C0E">
        <w:rPr>
          <w:i/>
          <w:vertAlign w:val="subscript"/>
        </w:rPr>
        <w:t>shelter</w:t>
      </w:r>
      <w:proofErr w:type="spellEnd"/>
      <w:r w:rsidRPr="00490C0E">
        <w:rPr>
          <w:i/>
        </w:rPr>
        <w:t xml:space="preserve"> = </w:t>
      </w:r>
      <w:proofErr w:type="spellStart"/>
      <w:r w:rsidRPr="00490C0E">
        <w:rPr>
          <w:i/>
        </w:rPr>
        <w:t>p</w:t>
      </w:r>
      <w:r w:rsidRPr="00490C0E">
        <w:rPr>
          <w:i/>
          <w:vertAlign w:val="subscript"/>
        </w:rPr>
        <w:t>shelter</w:t>
      </w:r>
      <w:proofErr w:type="spellEnd"/>
      <w:r w:rsidRPr="00490C0E">
        <w:rPr>
          <w:i/>
          <w:vertAlign w:val="subscript"/>
        </w:rPr>
        <w:t>, 8hours</w:t>
      </w:r>
      <w:r w:rsidRPr="00490C0E">
        <w:rPr>
          <w:i/>
        </w:rPr>
        <w:t xml:space="preserve"> - </w:t>
      </w:r>
      <w:proofErr w:type="spellStart"/>
      <w:r w:rsidRPr="00490C0E">
        <w:rPr>
          <w:i/>
        </w:rPr>
        <w:t>p</w:t>
      </w:r>
      <w:r w:rsidRPr="00490C0E">
        <w:rPr>
          <w:i/>
          <w:vertAlign w:val="subscript"/>
        </w:rPr>
        <w:t>shelter</w:t>
      </w:r>
      <w:proofErr w:type="spellEnd"/>
      <w:r w:rsidRPr="00490C0E">
        <w:rPr>
          <w:i/>
          <w:vertAlign w:val="subscript"/>
        </w:rPr>
        <w:t>, 4hours</w:t>
      </w:r>
    </w:p>
    <w:p w14:paraId="56C0F7F2" w14:textId="3D6799C5" w:rsidR="007B43FD" w:rsidRDefault="00C46C6C" w:rsidP="007B43FD">
      <w:pPr>
        <w:rPr>
          <w:lang w:bidi="ar-SA"/>
        </w:rPr>
      </w:pPr>
      <w:r>
        <w:tab/>
        <w:t xml:space="preserve">While the analysis of single words </w:t>
      </w:r>
      <w:r w:rsidR="009061F8">
        <w:t>is</w:t>
      </w:r>
      <w:r>
        <w:t xml:space="preserve"> a good starting place to understand basic response characteristics, the context of those words also plays an important role in understanding the actions people will take. To further investigate these </w:t>
      </w:r>
      <w:r w:rsidRPr="001E4677">
        <w:t xml:space="preserve">response actions, </w:t>
      </w:r>
      <w:r w:rsidR="001E4677">
        <w:t>all usable</w:t>
      </w:r>
      <w:r w:rsidRPr="001E4677">
        <w:t xml:space="preserve"> survey text response</w:t>
      </w:r>
      <w:r w:rsidR="001E4677">
        <w:t xml:space="preserve">s are </w:t>
      </w:r>
      <w:r w:rsidRPr="001E4677">
        <w:t xml:space="preserve">categorized into one or more categories. These </w:t>
      </w:r>
      <w:r w:rsidR="001E4677" w:rsidRPr="001E4677">
        <w:t>6</w:t>
      </w:r>
      <w:r w:rsidR="009061F8" w:rsidRPr="001E4677">
        <w:t xml:space="preserve"> </w:t>
      </w:r>
      <w:r w:rsidRPr="001E4677">
        <w:t>categories (shown in table 1)</w:t>
      </w:r>
      <w:r w:rsidR="00F57EBA" w:rsidRPr="001E4677">
        <w:t xml:space="preserve"> </w:t>
      </w:r>
      <w:r w:rsidR="00A80038" w:rsidRPr="001E4677">
        <w:t>were</w:t>
      </w:r>
      <w:r w:rsidR="00A80038">
        <w:t xml:space="preserve"> chosen after reading the responses to ensure they encompass </w:t>
      </w:r>
      <w:r w:rsidR="000146BE">
        <w:t xml:space="preserve">nearly all </w:t>
      </w:r>
      <w:r w:rsidR="00A80038">
        <w:t xml:space="preserve">of the described </w:t>
      </w:r>
      <w:r w:rsidR="00A80038">
        <w:lastRenderedPageBreak/>
        <w:t xml:space="preserve">actions. The categories </w:t>
      </w:r>
      <w:r w:rsidR="000A66C7">
        <w:t>are</w:t>
      </w:r>
      <w:r w:rsidR="00F57EBA">
        <w:t xml:space="preserve"> not mutually exclusive; in fact, many of the responses fit into multiple categories. </w:t>
      </w:r>
      <w:r w:rsidR="00486BF3">
        <w:t xml:space="preserve">Once categorized, the </w:t>
      </w:r>
      <w:r w:rsidR="00820FB6">
        <w:t>percentage</w:t>
      </w:r>
      <w:r w:rsidR="00486BF3">
        <w:t xml:space="preserve">s </w:t>
      </w:r>
      <w:r w:rsidR="001E4677">
        <w:t>for</w:t>
      </w:r>
      <w:r w:rsidR="00486BF3">
        <w:t xml:space="preserve"> each category </w:t>
      </w:r>
      <w:r w:rsidR="00235399">
        <w:t>are</w:t>
      </w:r>
      <w:r w:rsidR="00486BF3">
        <w:t xml:space="preserve"> calculated for both 4 and 8 hours </w:t>
      </w:r>
      <w:r w:rsidR="00591283">
        <w:t>of advance notice</w:t>
      </w:r>
      <w:r w:rsidR="00486BF3">
        <w:t xml:space="preserve">. </w:t>
      </w:r>
      <w:r w:rsidR="009965A3">
        <w:t>Similar to the word analysis, the</w:t>
      </w:r>
      <w:r w:rsidR="00486BF3">
        <w:t xml:space="preserve"> difference in these </w:t>
      </w:r>
      <w:r w:rsidR="00820FB6">
        <w:t>percentage</w:t>
      </w:r>
      <w:r w:rsidR="00486BF3">
        <w:t xml:space="preserve">s </w:t>
      </w:r>
      <w:r w:rsidR="000A66C7">
        <w:t>is</w:t>
      </w:r>
      <w:r w:rsidR="00486BF3">
        <w:t xml:space="preserve"> calculated to understand how changing from 4 to 8 hours would change respondents’ actions. </w:t>
      </w:r>
      <w:r w:rsidR="009965A3">
        <w:t xml:space="preserve">Finally, a </w:t>
      </w:r>
      <w:r w:rsidR="00DD6406">
        <w:t xml:space="preserve">two-tailed </w:t>
      </w:r>
      <w:r w:rsidR="008C313B" w:rsidRPr="008C313B">
        <w:t>difference in proportions</w:t>
      </w:r>
      <w:r w:rsidR="008C313B">
        <w:t xml:space="preserve"> </w:t>
      </w:r>
      <w:r w:rsidR="00DD6406">
        <w:t xml:space="preserve">z-test </w:t>
      </w:r>
      <w:r w:rsidR="000A66C7">
        <w:t>is</w:t>
      </w:r>
      <w:r w:rsidR="00DD6406">
        <w:t xml:space="preserve"> performed </w:t>
      </w:r>
      <w:r w:rsidR="00DB1DA9">
        <w:t>for</w:t>
      </w:r>
      <w:r w:rsidR="00DD6406">
        <w:t xml:space="preserve"> all of the difference calculations to identify which, if any, of the word or category differences </w:t>
      </w:r>
      <w:r w:rsidR="000A66C7">
        <w:t>are</w:t>
      </w:r>
      <w:r w:rsidR="00DD6406">
        <w:t xml:space="preserve"> statistically significant. </w:t>
      </w:r>
    </w:p>
    <w:p w14:paraId="3B55CD95" w14:textId="77777777" w:rsidR="00DB1DA9" w:rsidRPr="00E06311" w:rsidRDefault="00DB1DA9" w:rsidP="007B43FD">
      <w:pPr>
        <w:rPr>
          <w:lang w:bidi="ar-SA"/>
        </w:rPr>
      </w:pPr>
    </w:p>
    <w:p w14:paraId="43F4DB73" w14:textId="35FA32FE" w:rsidR="007B43FD" w:rsidRDefault="007B43FD" w:rsidP="007B43FD">
      <w:pPr>
        <w:pStyle w:val="Heading1"/>
      </w:pPr>
      <w:r w:rsidRPr="00E06311">
        <w:t xml:space="preserve"> </w:t>
      </w:r>
      <w:r w:rsidR="00D934F6">
        <w:t>Results</w:t>
      </w:r>
      <w:r w:rsidR="00997D68">
        <w:t xml:space="preserve"> and Discussion</w:t>
      </w:r>
    </w:p>
    <w:p w14:paraId="564F1F4B" w14:textId="45F8308E" w:rsidR="009061F8" w:rsidRPr="009061F8" w:rsidRDefault="009061F8" w:rsidP="009061F8">
      <w:pPr>
        <w:rPr>
          <w:i/>
        </w:rPr>
      </w:pPr>
      <w:r w:rsidRPr="009061F8">
        <w:rPr>
          <w:i/>
        </w:rPr>
        <w:t xml:space="preserve">a. </w:t>
      </w:r>
      <w:r>
        <w:rPr>
          <w:i/>
        </w:rPr>
        <w:t>Word Analysis</w:t>
      </w:r>
    </w:p>
    <w:p w14:paraId="54C3344C" w14:textId="29B2E04B" w:rsidR="00DC1C89" w:rsidRDefault="00DC1C89" w:rsidP="003239B4">
      <w:pPr>
        <w:ind w:firstLine="720"/>
      </w:pPr>
      <w:r>
        <w:t xml:space="preserve">The top words used in text responses are very similar for 4 and 8 hours of </w:t>
      </w:r>
      <w:r w:rsidR="00EA6B01">
        <w:t>advance</w:t>
      </w:r>
      <w:r w:rsidR="00E61552">
        <w:t xml:space="preserve"> </w:t>
      </w:r>
      <w:r w:rsidR="00EA6B01">
        <w:t>notice for a possible tornado</w:t>
      </w:r>
      <w:r>
        <w:t xml:space="preserve"> (Fig. 1). In fact, </w:t>
      </w:r>
      <w:r w:rsidR="00F10545">
        <w:t xml:space="preserve">22 of the 25 top words used </w:t>
      </w:r>
      <w:r w:rsidR="000A66C7">
        <w:t>are</w:t>
      </w:r>
      <w:r w:rsidR="00F10545">
        <w:t xml:space="preserve"> found in both </w:t>
      </w:r>
      <w:r w:rsidR="00FC5A4F">
        <w:t xml:space="preserve">the </w:t>
      </w:r>
      <w:r w:rsidR="00F10545">
        <w:t xml:space="preserve">4-hour and 8-hour categories. </w:t>
      </w:r>
      <w:r w:rsidR="003E08F3">
        <w:t xml:space="preserve">The only difference </w:t>
      </w:r>
      <w:r w:rsidR="000A66C7">
        <w:t>is</w:t>
      </w:r>
      <w:r w:rsidR="003E08F3">
        <w:t xml:space="preserve"> in </w:t>
      </w:r>
      <w:r>
        <w:t xml:space="preserve">the order of </w:t>
      </w:r>
      <w:r w:rsidR="003E08F3">
        <w:t xml:space="preserve">the most used </w:t>
      </w:r>
      <w:r>
        <w:t>words by number of times used</w:t>
      </w:r>
      <w:r w:rsidR="003E08F3">
        <w:t>.</w:t>
      </w:r>
      <w:r>
        <w:t xml:space="preserve"> The three most popular words used </w:t>
      </w:r>
      <w:r w:rsidR="00094211">
        <w:t>with 4</w:t>
      </w:r>
      <w:r w:rsidR="00EA6B01">
        <w:t xml:space="preserve"> </w:t>
      </w:r>
      <w:r w:rsidR="00094211">
        <w:t>hour</w:t>
      </w:r>
      <w:r w:rsidR="00EA6B01">
        <w:t>s of advance notice</w:t>
      </w:r>
      <w:r w:rsidR="00094211">
        <w:t xml:space="preserve"> are “shelter”, “go”, and “monitor”, in that orde</w:t>
      </w:r>
      <w:r w:rsidR="00B6645F">
        <w:t xml:space="preserve">r. These words </w:t>
      </w:r>
      <w:r w:rsidR="000A66C7">
        <w:t>are</w:t>
      </w:r>
      <w:r w:rsidR="00B6645F">
        <w:t xml:space="preserve"> found in </w:t>
      </w:r>
      <w:r w:rsidR="00FC5A4F">
        <w:t>20.0</w:t>
      </w:r>
      <w:r w:rsidR="00B6645F">
        <w:t xml:space="preserve">%, </w:t>
      </w:r>
      <w:r w:rsidR="00FC5A4F">
        <w:t>17.8</w:t>
      </w:r>
      <w:r w:rsidR="00B6645F">
        <w:t xml:space="preserve">%, and </w:t>
      </w:r>
      <w:r w:rsidR="00FC5A4F">
        <w:t>16.8</w:t>
      </w:r>
      <w:r w:rsidR="00B6645F">
        <w:t>% of responses, respectively</w:t>
      </w:r>
      <w:r w:rsidR="00094211">
        <w:t>. Those same three words are also the most used with 8</w:t>
      </w:r>
      <w:r w:rsidR="00EA6B01">
        <w:t xml:space="preserve"> </w:t>
      </w:r>
      <w:r w:rsidR="00094211">
        <w:t>hour</w:t>
      </w:r>
      <w:r w:rsidR="00EA6B01">
        <w:t>s of advance notice</w:t>
      </w:r>
      <w:r w:rsidR="00094211">
        <w:t xml:space="preserve">, except the order is “monitor”, “shelter”, </w:t>
      </w:r>
      <w:r w:rsidR="003E08F3">
        <w:t xml:space="preserve">and then </w:t>
      </w:r>
      <w:r w:rsidR="00094211">
        <w:t>“go”.</w:t>
      </w:r>
      <w:r w:rsidR="00B6645F">
        <w:t xml:space="preserve"> This time, they </w:t>
      </w:r>
      <w:r w:rsidR="000A66C7">
        <w:t>are</w:t>
      </w:r>
      <w:r w:rsidR="00B6645F">
        <w:t xml:space="preserve"> found in </w:t>
      </w:r>
      <w:r w:rsidR="00FC5A4F">
        <w:t>17.5</w:t>
      </w:r>
      <w:r w:rsidR="00B6645F">
        <w:t xml:space="preserve">%, </w:t>
      </w:r>
      <w:r w:rsidR="00FC5A4F">
        <w:t>17.3</w:t>
      </w:r>
      <w:r w:rsidR="00B6645F">
        <w:t xml:space="preserve">%, and </w:t>
      </w:r>
      <w:r w:rsidR="00FC5A4F">
        <w:t>15.9</w:t>
      </w:r>
      <w:r w:rsidR="00B6645F">
        <w:t>% of responses.</w:t>
      </w:r>
      <w:r w:rsidR="00094211">
        <w:t xml:space="preserve"> </w:t>
      </w:r>
    </w:p>
    <w:p w14:paraId="2393B122" w14:textId="462F7592" w:rsidR="001966D4" w:rsidRDefault="00EA6B01" w:rsidP="003239B4">
      <w:pPr>
        <w:ind w:firstLine="720"/>
      </w:pPr>
      <w:r>
        <w:t xml:space="preserve">The differences between the most commonly used words suggests </w:t>
      </w:r>
      <w:r w:rsidR="001F1750">
        <w:t xml:space="preserve">a pattern of more sheltering preferences with 4 hours of notice and more monitoring preferences with 8 hours of notice </w:t>
      </w:r>
      <w:r>
        <w:t xml:space="preserve">(Fig. 2). </w:t>
      </w:r>
      <w:r w:rsidR="00D35B62">
        <w:t xml:space="preserve">Words that relate to sheltering behaviors (like “shelter”, “go”, “take”, “get”, “safe”, “basement”, “find”, etc.) are more prevalent in the 4-hour category, while words that relate to monitoring the situation or information gathering (like “monitor”, “stay”, “weather”, </w:t>
      </w:r>
      <w:r w:rsidR="00C441BF">
        <w:lastRenderedPageBreak/>
        <w:t xml:space="preserve">“prepare”, </w:t>
      </w:r>
      <w:r w:rsidR="00135151">
        <w:t xml:space="preserve">and “keep”) are more popular in the 8-hour category. </w:t>
      </w:r>
      <w:r w:rsidR="001F1750">
        <w:t>Due</w:t>
      </w:r>
      <w:r>
        <w:t xml:space="preserve"> to the </w:t>
      </w:r>
      <w:r w:rsidR="00FC5A4F">
        <w:t xml:space="preserve">relatively </w:t>
      </w:r>
      <w:r>
        <w:t xml:space="preserve">low number of responses that contain the most common words (“shelter” appears in </w:t>
      </w:r>
      <w:r w:rsidR="00FF01D7">
        <w:t xml:space="preserve">only </w:t>
      </w:r>
      <w:r>
        <w:t xml:space="preserve">279 </w:t>
      </w:r>
      <w:r w:rsidR="00FC5A4F">
        <w:t>r</w:t>
      </w:r>
      <w:r>
        <w:t xml:space="preserve">esponses in the 4-hour category and “monitor” appears in </w:t>
      </w:r>
      <w:r w:rsidR="00FF01D7">
        <w:t xml:space="preserve">only </w:t>
      </w:r>
      <w:r>
        <w:t xml:space="preserve">246 responses in the 8-hour category), </w:t>
      </w:r>
      <w:r w:rsidR="00BA4870">
        <w:t>many</w:t>
      </w:r>
      <w:r w:rsidR="00490C0E">
        <w:t xml:space="preserve"> of the differences </w:t>
      </w:r>
      <w:r w:rsidR="000A66C7">
        <w:t>are</w:t>
      </w:r>
      <w:r w:rsidR="00490C0E">
        <w:t xml:space="preserve"> not statistically significant</w:t>
      </w:r>
      <w:r>
        <w:t>.</w:t>
      </w:r>
      <w:r w:rsidR="00490C0E">
        <w:t xml:space="preserve"> </w:t>
      </w:r>
      <w:r w:rsidR="001F1750">
        <w:t>However, t</w:t>
      </w:r>
      <w:r w:rsidR="00490C0E">
        <w:t xml:space="preserve">he </w:t>
      </w:r>
      <w:r w:rsidR="00BA4870">
        <w:t>words “take”, “get”, “shelter”, “find”, “drive”, “way”, and “house” are all more prevalent in 4-hour responses and st</w:t>
      </w:r>
      <w:r w:rsidR="008E1936">
        <w:t xml:space="preserve">atistically different from the 8-hour responses at the p&lt;0.1 level. </w:t>
      </w:r>
      <w:r w:rsidR="00161D1B" w:rsidRPr="00DB1DA9">
        <w:t>This</w:t>
      </w:r>
      <w:r w:rsidR="00EC0197" w:rsidRPr="00DB1DA9">
        <w:t xml:space="preserve"> </w:t>
      </w:r>
      <w:r w:rsidR="008E1936">
        <w:t>may suggest</w:t>
      </w:r>
      <w:r w:rsidR="00EC0197">
        <w:t xml:space="preserve"> that there is a</w:t>
      </w:r>
      <w:r w:rsidR="00161D1B">
        <w:t xml:space="preserve"> slight</w:t>
      </w:r>
      <w:r w:rsidR="00EC0197">
        <w:t xml:space="preserve"> preference for sheltering behaviors within the 4-hour category.</w:t>
      </w:r>
      <w:r w:rsidR="008E1936">
        <w:t xml:space="preserve"> On the other hand, the words “keep”, “family”, and “weather” are more prevalent in the 8-hour responses and statistically different from the 4-hour responses at the p&lt;0.1 level, which may indicate a slight preference for monitoring and preparatory behaviors in the 8-hour category. </w:t>
      </w:r>
    </w:p>
    <w:p w14:paraId="10BC4BA9" w14:textId="07F25D77" w:rsidR="00235399" w:rsidRDefault="00235399" w:rsidP="00235399">
      <w:pPr>
        <w:ind w:firstLine="720"/>
      </w:pPr>
      <w:r>
        <w:t xml:space="preserve">Another common theme in both categories is respondents using the current system as an anchor for what they would do in a situation they have not been in before. Many responses displayed confusion or disbelief that there even could be 8 hours of advance notice for a tornado. Some responses reflect this disbelief, and then proceed to talk about what they would do with less time. This may highlight the need for education if a new system were to be put in place.  If </w:t>
      </w:r>
      <w:r w:rsidR="007659A8">
        <w:t xml:space="preserve">people </w:t>
      </w:r>
      <w:r>
        <w:t>are given some idea of what could be done with many hours of advance notice, they may be more likely to take precautionary actions.</w:t>
      </w:r>
    </w:p>
    <w:p w14:paraId="069B2EA1" w14:textId="779EBBFE" w:rsidR="00E54F78" w:rsidRDefault="00135151" w:rsidP="003239B4">
      <w:pPr>
        <w:ind w:firstLine="720"/>
      </w:pPr>
      <w:r>
        <w:t xml:space="preserve">While the </w:t>
      </w:r>
      <w:r w:rsidR="00820FB6">
        <w:t>percentages</w:t>
      </w:r>
      <w:r w:rsidR="00E54F78">
        <w:t xml:space="preserve"> of individual words used are</w:t>
      </w:r>
      <w:r>
        <w:t xml:space="preserve"> interesting and a good starting point, those words exist within context of the individual respondents’</w:t>
      </w:r>
      <w:r w:rsidR="00E54F78">
        <w:t xml:space="preserve"> situation</w:t>
      </w:r>
      <w:r>
        <w:t xml:space="preserve">. That context is often important when understanding what specific </w:t>
      </w:r>
      <w:proofErr w:type="gramStart"/>
      <w:r>
        <w:t>actions</w:t>
      </w:r>
      <w:proofErr w:type="gramEnd"/>
      <w:r>
        <w:t xml:space="preserve"> they plan to take. For example, the word “shelter” may be used more often in the 4-hour category, but it’s important to understand how it’s being used in both categories. With regards to 4-hours of </w:t>
      </w:r>
      <w:r w:rsidR="00EA6B01">
        <w:t>advance notice</w:t>
      </w:r>
      <w:r>
        <w:t xml:space="preserve">, the word “shelter” </w:t>
      </w:r>
      <w:r w:rsidR="000A66C7">
        <w:t>is</w:t>
      </w:r>
      <w:r>
        <w:t xml:space="preserve"> used mostly in </w:t>
      </w:r>
      <w:r w:rsidR="00E54F78">
        <w:t xml:space="preserve">a </w:t>
      </w:r>
      <w:r>
        <w:t xml:space="preserve">traditional sense; in statements like “I would go to shelter”. In the 8-hour </w:t>
      </w:r>
      <w:r>
        <w:lastRenderedPageBreak/>
        <w:t xml:space="preserve">category, it </w:t>
      </w:r>
      <w:r w:rsidR="000A66C7">
        <w:t>is</w:t>
      </w:r>
      <w:r>
        <w:t xml:space="preserve"> often used to say that they would</w:t>
      </w:r>
      <w:r w:rsidR="000604C8">
        <w:t xml:space="preserve"> </w:t>
      </w:r>
      <w:r>
        <w:t>n</w:t>
      </w:r>
      <w:r w:rsidR="000604C8">
        <w:t>o</w:t>
      </w:r>
      <w:r>
        <w:t xml:space="preserve">t head to shelter until necessary; in statements like “I’d monitor the </w:t>
      </w:r>
      <w:r w:rsidR="008E1936">
        <w:t>weather</w:t>
      </w:r>
      <w:r>
        <w:t xml:space="preserve"> and head to shelter when necessary”. </w:t>
      </w:r>
    </w:p>
    <w:p w14:paraId="5836A3B1" w14:textId="1F558B24" w:rsidR="009061F8" w:rsidRDefault="009061F8" w:rsidP="009061F8"/>
    <w:p w14:paraId="7DA4B0C2" w14:textId="73054C57" w:rsidR="009061F8" w:rsidRPr="009061F8" w:rsidRDefault="009061F8" w:rsidP="009061F8">
      <w:pPr>
        <w:rPr>
          <w:i/>
        </w:rPr>
      </w:pPr>
      <w:r>
        <w:rPr>
          <w:i/>
        </w:rPr>
        <w:t>b. Categorical Analysis</w:t>
      </w:r>
    </w:p>
    <w:p w14:paraId="69EE2E6D" w14:textId="7AF4BACB" w:rsidR="0029696A" w:rsidRDefault="00E90171" w:rsidP="001F1750">
      <w:pPr>
        <w:ind w:firstLine="720"/>
      </w:pPr>
      <w:r>
        <w:t xml:space="preserve">Given that the context of the response (and not just the most commonly used words) is important for understanding common behaviors, we </w:t>
      </w:r>
      <w:r w:rsidR="000A66C7">
        <w:t>place</w:t>
      </w:r>
      <w:r>
        <w:t xml:space="preserve"> each response into categories based on the most common response actions. </w:t>
      </w:r>
      <w:r w:rsidR="00D37898">
        <w:t>Some</w:t>
      </w:r>
      <w:r w:rsidR="0029696A">
        <w:t xml:space="preserve"> of the same themes seen in the most commonly used words </w:t>
      </w:r>
      <w:r w:rsidR="000A66C7">
        <w:t>are</w:t>
      </w:r>
      <w:r w:rsidR="0029696A">
        <w:t xml:space="preserve"> also </w:t>
      </w:r>
      <w:r w:rsidR="00D37898">
        <w:t>represented</w:t>
      </w:r>
      <w:r w:rsidR="0029696A">
        <w:t xml:space="preserve"> in the categorical analysis, but the categories also reveal actions that single word</w:t>
      </w:r>
      <w:r w:rsidR="00A61EA9">
        <w:t>s</w:t>
      </w:r>
      <w:r w:rsidR="0029696A">
        <w:t xml:space="preserve"> </w:t>
      </w:r>
      <w:r w:rsidR="00A61EA9">
        <w:t>cannot</w:t>
      </w:r>
      <w:r w:rsidR="0029696A">
        <w:t xml:space="preserve"> (Fig. 3). As an example, prepare and monitor </w:t>
      </w:r>
      <w:r w:rsidR="000A66C7">
        <w:t xml:space="preserve">are </w:t>
      </w:r>
      <w:r w:rsidR="0029696A">
        <w:t>the two most common categories in t</w:t>
      </w:r>
      <w:r w:rsidR="00670719">
        <w:t>he 4-hour group</w:t>
      </w:r>
      <w:r w:rsidR="00401C36">
        <w:t xml:space="preserve"> (32% and 29% of responses, respectively)</w:t>
      </w:r>
      <w:r w:rsidR="00670719">
        <w:t xml:space="preserve">, </w:t>
      </w:r>
      <w:r w:rsidR="00015935">
        <w:t>followed by</w:t>
      </w:r>
      <w:r w:rsidR="00670719">
        <w:t xml:space="preserve"> sheltering</w:t>
      </w:r>
      <w:r w:rsidR="00401C36">
        <w:t xml:space="preserve"> (</w:t>
      </w:r>
      <w:r w:rsidR="001E4677">
        <w:t>26</w:t>
      </w:r>
      <w:r w:rsidR="00401C36">
        <w:t>% of responses)</w:t>
      </w:r>
      <w:r w:rsidR="00670719">
        <w:t>. This is likely seen because the descriptions of preparing and monitoring do</w:t>
      </w:r>
      <w:r w:rsidR="005943D8">
        <w:t xml:space="preserve"> </w:t>
      </w:r>
      <w:r w:rsidR="00670719">
        <w:t>n</w:t>
      </w:r>
      <w:r w:rsidR="005943D8">
        <w:t>o</w:t>
      </w:r>
      <w:r w:rsidR="00670719">
        <w:t xml:space="preserve">t necessarily need to include </w:t>
      </w:r>
      <w:r w:rsidR="006E6FCD">
        <w:t>the words “prepare” or “monitor”</w:t>
      </w:r>
      <w:r w:rsidR="00670719">
        <w:t xml:space="preserve">. </w:t>
      </w:r>
      <w:r w:rsidR="006E6FCD">
        <w:t>For example, m</w:t>
      </w:r>
      <w:r w:rsidR="00670719">
        <w:t>any respondents said that they would gather important items (prepare), head to a safe place (shelter), and then watch for updates on TV or their phone (monitor). None of those actions would have been captured in a word analysis, but become evident when comparing categories.</w:t>
      </w:r>
    </w:p>
    <w:p w14:paraId="5B341372" w14:textId="0441658F" w:rsidR="00670719" w:rsidRDefault="004036C4" w:rsidP="009061F8">
      <w:pPr>
        <w:ind w:firstLine="720"/>
      </w:pPr>
      <w:r>
        <w:t>R</w:t>
      </w:r>
      <w:r w:rsidR="00670719">
        <w:t xml:space="preserve">espondents in the 4-hour group </w:t>
      </w:r>
      <w:r>
        <w:t xml:space="preserve">often </w:t>
      </w:r>
      <w:r w:rsidR="00670719">
        <w:t xml:space="preserve">mention gathering the most important documents/items and then sheltering with family. It </w:t>
      </w:r>
      <w:r w:rsidR="000A66C7">
        <w:t>is</w:t>
      </w:r>
      <w:r w:rsidR="00670719">
        <w:t xml:space="preserve"> somewhat unexpected to see so many responses indicating they would immediately go to shelter when they would likely be in shelter for hours before the event occurred.  In theory, they could get other tasks done or even leave the area before heading to shelter, but many responded </w:t>
      </w:r>
      <w:r w:rsidR="00015935">
        <w:t xml:space="preserve">as if they had mere minutes instead of hours. </w:t>
      </w:r>
    </w:p>
    <w:p w14:paraId="4DC35443" w14:textId="200F0313" w:rsidR="00670719" w:rsidRDefault="00670719" w:rsidP="009061F8">
      <w:pPr>
        <w:ind w:firstLine="720"/>
      </w:pPr>
      <w:r>
        <w:t>The 8-hour group ha</w:t>
      </w:r>
      <w:r w:rsidR="000A66C7">
        <w:t>s</w:t>
      </w:r>
      <w:r>
        <w:t xml:space="preserve"> </w:t>
      </w:r>
      <w:r w:rsidR="009D44D5">
        <w:t>similar</w:t>
      </w:r>
      <w:r>
        <w:t xml:space="preserve"> response category </w:t>
      </w:r>
      <w:r w:rsidR="00820FB6">
        <w:t>percentages</w:t>
      </w:r>
      <w:r>
        <w:t xml:space="preserve"> to the 4-hour group with just a few adjustments. The </w:t>
      </w:r>
      <w:r w:rsidR="00401C36">
        <w:t>monitor and prepare categories switched places</w:t>
      </w:r>
      <w:r>
        <w:t>, with monitor being the highest category in the 8-hour group (</w:t>
      </w:r>
      <w:r w:rsidR="00401C36">
        <w:t xml:space="preserve">32% and 31% of responses, respectively, </w:t>
      </w:r>
      <w:r>
        <w:t xml:space="preserve">Fig. 3). Many </w:t>
      </w:r>
      <w:r>
        <w:lastRenderedPageBreak/>
        <w:t xml:space="preserve">responses indicate that they would look for more information and act when the event was </w:t>
      </w:r>
      <w:r w:rsidR="00B22383">
        <w:t>closer to occurring. The “nothing” category also increased</w:t>
      </w:r>
      <w:r w:rsidR="00401C36">
        <w:t xml:space="preserve"> to nearly 8% of responses</w:t>
      </w:r>
      <w:r w:rsidR="00B22383">
        <w:t xml:space="preserve">, </w:t>
      </w:r>
      <w:r w:rsidR="00D37898">
        <w:t xml:space="preserve">which may indicate </w:t>
      </w:r>
      <w:r w:rsidR="00B22383">
        <w:t xml:space="preserve">that 8 hours was too </w:t>
      </w:r>
      <w:r w:rsidR="00401C36">
        <w:t>much advance notice</w:t>
      </w:r>
      <w:r w:rsidR="00C77E56">
        <w:t xml:space="preserve"> to begin taking precautions</w:t>
      </w:r>
      <w:r w:rsidR="00B22383">
        <w:t xml:space="preserve"> (Fig. 3).</w:t>
      </w:r>
      <w:r w:rsidR="00D2759D">
        <w:t xml:space="preserve"> </w:t>
      </w:r>
    </w:p>
    <w:p w14:paraId="3F7DEC83" w14:textId="208DA1EB" w:rsidR="00B22383" w:rsidRPr="003B068A" w:rsidRDefault="00EA27F7" w:rsidP="009061F8">
      <w:pPr>
        <w:ind w:firstLine="720"/>
      </w:pPr>
      <w:r>
        <w:t xml:space="preserve">The difference in </w:t>
      </w:r>
      <w:r w:rsidR="00820FB6">
        <w:t>percentage</w:t>
      </w:r>
      <w:r>
        <w:t xml:space="preserve"> of responses in each category reflects a shift from action to monitoring when shifting from 4 to 8 hours of </w:t>
      </w:r>
      <w:r w:rsidR="00401C36">
        <w:t>advance notice</w:t>
      </w:r>
      <w:r>
        <w:t xml:space="preserve"> (Fig. 4). The monitor</w:t>
      </w:r>
      <w:r w:rsidR="00D2759D">
        <w:t xml:space="preserve">, nothing, and unsure categories were more </w:t>
      </w:r>
      <w:r>
        <w:t>prevalent in the 8-hour group</w:t>
      </w:r>
      <w:r w:rsidR="00242875">
        <w:t xml:space="preserve">, although only the difference </w:t>
      </w:r>
      <w:r w:rsidR="00235399">
        <w:t xml:space="preserve">in the </w:t>
      </w:r>
      <w:r w:rsidR="00242875">
        <w:t>nothing category was statistically significant. Still, these changes may</w:t>
      </w:r>
      <w:r>
        <w:t xml:space="preserve"> indicate that either 8 hours is too much </w:t>
      </w:r>
      <w:r w:rsidR="00401C36">
        <w:t>advance notice</w:t>
      </w:r>
      <w:r>
        <w:t xml:space="preserve">, or that people </w:t>
      </w:r>
      <w:r w:rsidR="00D15AC9">
        <w:t>are unaware</w:t>
      </w:r>
      <w:r>
        <w:t xml:space="preserve"> of what actions they can or should be doing with an entire work </w:t>
      </w:r>
      <w:proofErr w:type="spellStart"/>
      <w:r>
        <w:t>day</w:t>
      </w:r>
      <w:r w:rsidR="0092591D">
        <w:t>’</w:t>
      </w:r>
      <w:r>
        <w:t>s worth</w:t>
      </w:r>
      <w:proofErr w:type="spellEnd"/>
      <w:r>
        <w:t xml:space="preserve"> of time. The 4-hour group is </w:t>
      </w:r>
      <w:r w:rsidR="00D2759D">
        <w:t>more focused on sheltering and preparing</w:t>
      </w:r>
      <w:r w:rsidR="003C65FA">
        <w:t xml:space="preserve"> (with differences of 1.</w:t>
      </w:r>
      <w:r w:rsidR="00992AC2">
        <w:t>3</w:t>
      </w:r>
      <w:r w:rsidR="003C65FA">
        <w:t xml:space="preserve">% and </w:t>
      </w:r>
      <w:r w:rsidR="00992AC2">
        <w:t>3.8</w:t>
      </w:r>
      <w:r w:rsidR="003C65FA">
        <w:t>%, respectively)</w:t>
      </w:r>
      <w:r w:rsidR="00D2759D">
        <w:t xml:space="preserve">, although the prepare category </w:t>
      </w:r>
      <w:r w:rsidR="00054AF5">
        <w:t xml:space="preserve">is </w:t>
      </w:r>
      <w:r w:rsidR="00D2759D">
        <w:t xml:space="preserve">well </w:t>
      </w:r>
      <w:r w:rsidR="00401C36">
        <w:t xml:space="preserve">represented </w:t>
      </w:r>
      <w:r w:rsidR="00D2759D">
        <w:t xml:space="preserve">in both groups. </w:t>
      </w:r>
      <w:r>
        <w:t xml:space="preserve"> </w:t>
      </w:r>
      <w:r w:rsidR="00242875">
        <w:t xml:space="preserve">The </w:t>
      </w:r>
      <w:r w:rsidR="00054AF5">
        <w:t>difference</w:t>
      </w:r>
      <w:r w:rsidR="00066613">
        <w:t>s</w:t>
      </w:r>
      <w:r w:rsidR="00054AF5">
        <w:t xml:space="preserve"> in </w:t>
      </w:r>
      <w:r w:rsidR="00820FB6">
        <w:t>the percentage</w:t>
      </w:r>
      <w:r w:rsidR="00242875">
        <w:t xml:space="preserve"> of responses within the </w:t>
      </w:r>
      <w:r w:rsidR="00992AC2">
        <w:t>shelter</w:t>
      </w:r>
      <w:bookmarkStart w:id="5" w:name="_GoBack"/>
      <w:bookmarkEnd w:id="5"/>
      <w:r w:rsidR="00242875">
        <w:t xml:space="preserve"> category </w:t>
      </w:r>
      <w:r w:rsidR="00066613">
        <w:t xml:space="preserve">and the do nothing category </w:t>
      </w:r>
      <w:r w:rsidR="00242875">
        <w:t>w</w:t>
      </w:r>
      <w:r w:rsidR="00066613">
        <w:t>ere</w:t>
      </w:r>
      <w:r w:rsidR="00242875">
        <w:t xml:space="preserve"> statistically </w:t>
      </w:r>
      <w:r w:rsidR="00054AF5">
        <w:t>significant</w:t>
      </w:r>
      <w:r w:rsidR="00242875">
        <w:t>, which may further indicate that respondents within the 4-hour category are more focused on sheltering than those in the 8-hour category.</w:t>
      </w:r>
    </w:p>
    <w:p w14:paraId="73FF1D78" w14:textId="77777777" w:rsidR="007B43FD" w:rsidRPr="00E06311" w:rsidRDefault="007B43FD" w:rsidP="007B43FD"/>
    <w:p w14:paraId="1D1A86AC" w14:textId="16693888" w:rsidR="007B43FD" w:rsidRPr="00E06311" w:rsidRDefault="00997D68" w:rsidP="007B43FD">
      <w:pPr>
        <w:pStyle w:val="Heading1"/>
      </w:pPr>
      <w:r>
        <w:t>Summary and Conclusions</w:t>
      </w:r>
    </w:p>
    <w:p w14:paraId="760908A7" w14:textId="08D0A225" w:rsidR="00AC1E83" w:rsidRDefault="009B45F8" w:rsidP="003239B4">
      <w:pPr>
        <w:ind w:firstLine="720"/>
      </w:pPr>
      <w:r>
        <w:t xml:space="preserve">Recent NOAA initiatives </w:t>
      </w:r>
      <w:r w:rsidR="00FD046E">
        <w:t>like the Warn-On</w:t>
      </w:r>
      <w:r w:rsidR="00543017">
        <w:t>-</w:t>
      </w:r>
      <w:r w:rsidR="00FD046E">
        <w:t xml:space="preserve">Forecast and the FACETs projects have begun to usher in a glimpse of what forecast </w:t>
      </w:r>
      <w:r w:rsidR="00CD6B16">
        <w:t>information</w:t>
      </w:r>
      <w:r w:rsidR="00FD046E">
        <w:t xml:space="preserve"> could look like in the future (</w:t>
      </w:r>
      <w:proofErr w:type="spellStart"/>
      <w:r w:rsidR="00D15BD2" w:rsidRPr="00D15BD2">
        <w:t>Rothfusz</w:t>
      </w:r>
      <w:proofErr w:type="spellEnd"/>
      <w:r w:rsidR="00D15BD2" w:rsidRPr="00D15BD2">
        <w:t xml:space="preserve"> et al. 2018</w:t>
      </w:r>
      <w:r w:rsidR="00FD046E" w:rsidRPr="00D15BD2">
        <w:t>).</w:t>
      </w:r>
      <w:r w:rsidR="00FD046E">
        <w:t xml:space="preserve"> Given that most severe </w:t>
      </w:r>
      <w:r w:rsidR="005043D0">
        <w:t xml:space="preserve">weather </w:t>
      </w:r>
      <w:r w:rsidR="00FD046E">
        <w:t xml:space="preserve">reports </w:t>
      </w:r>
      <w:r w:rsidR="00CD6B16">
        <w:t xml:space="preserve">at any location </w:t>
      </w:r>
      <w:r w:rsidR="00FD046E">
        <w:t xml:space="preserve">are confined to </w:t>
      </w:r>
      <w:r w:rsidR="00CD6B16">
        <w:t xml:space="preserve">sub-daily </w:t>
      </w:r>
      <w:r w:rsidR="00FD046E">
        <w:t xml:space="preserve">time </w:t>
      </w:r>
      <w:r w:rsidR="00FD046E" w:rsidRPr="00E0474A">
        <w:t>periods (</w:t>
      </w:r>
      <w:proofErr w:type="spellStart"/>
      <w:r w:rsidR="00FD046E" w:rsidRPr="00E0474A">
        <w:t>Krocak</w:t>
      </w:r>
      <w:proofErr w:type="spellEnd"/>
      <w:r w:rsidR="00FD046E" w:rsidRPr="00E0474A">
        <w:t xml:space="preserve"> </w:t>
      </w:r>
      <w:r w:rsidR="00E0474A" w:rsidRPr="00E0474A">
        <w:t>and</w:t>
      </w:r>
      <w:r w:rsidR="00E0474A">
        <w:t xml:space="preserve"> Brooks 2017</w:t>
      </w:r>
      <w:r w:rsidR="00FD046E">
        <w:t xml:space="preserve">), it is within the realm of possibility that forecasters may soon be able to give hours of notice for severe weather events. While </w:t>
      </w:r>
      <w:r w:rsidR="00242875">
        <w:t xml:space="preserve">some </w:t>
      </w:r>
      <w:r w:rsidR="00FD046E">
        <w:t>work has been done to begin understanding how the public will react to increased specificity in products with warning-scale lead times</w:t>
      </w:r>
      <w:r w:rsidR="00E0474A">
        <w:t xml:space="preserve">, </w:t>
      </w:r>
      <w:r w:rsidR="00FD046E">
        <w:t xml:space="preserve">little work has been done to show how </w:t>
      </w:r>
      <w:r w:rsidR="00242875">
        <w:t>hours of</w:t>
      </w:r>
      <w:r w:rsidR="00CD6B16">
        <w:t xml:space="preserve"> advance notice for </w:t>
      </w:r>
      <w:r w:rsidR="00CD6B16">
        <w:lastRenderedPageBreak/>
        <w:t>these events</w:t>
      </w:r>
      <w:r w:rsidR="00FD046E">
        <w:t xml:space="preserve"> will impact response actions. This is vitally important as any actions taken a few minutes before the event are dependent on the actions taken previously</w:t>
      </w:r>
      <w:r w:rsidR="00CD6B16">
        <w:t xml:space="preserve">. </w:t>
      </w:r>
    </w:p>
    <w:p w14:paraId="7947606A" w14:textId="2B52C49C" w:rsidR="00AA056F" w:rsidRDefault="00FD046E" w:rsidP="00AA056F">
      <w:pPr>
        <w:ind w:firstLine="720"/>
      </w:pPr>
      <w:r>
        <w:t xml:space="preserve">After fielding a national survey of 3,000 US adults, </w:t>
      </w:r>
      <w:r w:rsidR="003E6A51">
        <w:t xml:space="preserve">we analyze and categorize </w:t>
      </w:r>
      <w:r>
        <w:t xml:space="preserve">text responses </w:t>
      </w:r>
      <w:r w:rsidR="005D3CC1">
        <w:t xml:space="preserve">based on their content. </w:t>
      </w:r>
      <w:r w:rsidR="00242875">
        <w:t xml:space="preserve">First and foremost, we find that response actions are largely the same, regardless of how much time people are given. </w:t>
      </w:r>
      <w:r w:rsidR="00EE1EE1">
        <w:t>Analysis of single words show</w:t>
      </w:r>
      <w:r w:rsidR="00242875">
        <w:t xml:space="preserve"> that</w:t>
      </w:r>
      <w:r w:rsidR="00EE1EE1">
        <w:t xml:space="preserve"> sheltering behaviors </w:t>
      </w:r>
      <w:r w:rsidR="00242875">
        <w:t xml:space="preserve">may be slightly more common </w:t>
      </w:r>
      <w:r w:rsidR="00EE1EE1">
        <w:t xml:space="preserve">with 4 hours of </w:t>
      </w:r>
      <w:r w:rsidR="00CD6B16">
        <w:t>advance notice</w:t>
      </w:r>
      <w:r w:rsidR="00EE1EE1">
        <w:t xml:space="preserve"> and monitoring behaviors </w:t>
      </w:r>
      <w:r w:rsidR="00242875">
        <w:t xml:space="preserve">may be slightly more common </w:t>
      </w:r>
      <w:r w:rsidR="00EE1EE1">
        <w:t xml:space="preserve">with 8 hours of </w:t>
      </w:r>
      <w:r w:rsidR="00CD6B16">
        <w:t>advance notice</w:t>
      </w:r>
      <w:r w:rsidR="00EE1EE1">
        <w:t xml:space="preserve">. However, many nuances are lost when we just look at single words. Categorical analysis of </w:t>
      </w:r>
      <w:r w:rsidR="00275F8B">
        <w:t>the responses</w:t>
      </w:r>
      <w:r w:rsidR="00EE1EE1">
        <w:t xml:space="preserve"> </w:t>
      </w:r>
      <w:r w:rsidR="00CD6B16">
        <w:t xml:space="preserve">show </w:t>
      </w:r>
      <w:r w:rsidR="00EE1EE1">
        <w:t xml:space="preserve">preparation and monitoring </w:t>
      </w:r>
      <w:r w:rsidR="004D2F31">
        <w:t>were</w:t>
      </w:r>
      <w:r w:rsidR="00EE1EE1">
        <w:t xml:space="preserve"> the most common behaviors, regardless of </w:t>
      </w:r>
      <w:r w:rsidR="00CD6B16">
        <w:t>how much time respondents were given</w:t>
      </w:r>
      <w:r w:rsidR="00EE1EE1">
        <w:t xml:space="preserve">. </w:t>
      </w:r>
      <w:r w:rsidR="00242875">
        <w:t>Although small, the</w:t>
      </w:r>
      <w:r w:rsidR="00AA056F">
        <w:t xml:space="preserve"> differences we</w:t>
      </w:r>
      <w:r w:rsidR="00242875">
        <w:t xml:space="preserve"> do</w:t>
      </w:r>
      <w:r w:rsidR="00AA056F">
        <w:t xml:space="preserve"> </w:t>
      </w:r>
      <w:r w:rsidR="00CD6B16">
        <w:t xml:space="preserve">find </w:t>
      </w:r>
      <w:r w:rsidR="00997D68">
        <w:t>focus</w:t>
      </w:r>
      <w:r w:rsidR="00AA056F">
        <w:t xml:space="preserve"> on preparing the most valuable items and sheltering when given 4 hours of </w:t>
      </w:r>
      <w:r w:rsidR="00CD6B16">
        <w:t>notice</w:t>
      </w:r>
      <w:r w:rsidR="00AA056F">
        <w:t xml:space="preserve">, and on monitoring the weather and confirming information as well as preparing home items, pets, and family </w:t>
      </w:r>
      <w:r w:rsidR="004D2F31">
        <w:t xml:space="preserve">members </w:t>
      </w:r>
      <w:r w:rsidR="00AA056F">
        <w:t xml:space="preserve">when given 8 hours of </w:t>
      </w:r>
      <w:r w:rsidR="00CD6B16">
        <w:t>notice</w:t>
      </w:r>
      <w:r w:rsidR="00AA056F">
        <w:t xml:space="preserve">. </w:t>
      </w:r>
    </w:p>
    <w:p w14:paraId="756E468E" w14:textId="392EE167" w:rsidR="00FD046E" w:rsidRDefault="00AA056F" w:rsidP="00AA056F">
      <w:pPr>
        <w:ind w:firstLine="720"/>
      </w:pPr>
      <w:r>
        <w:t xml:space="preserve">Perhaps more importantly, </w:t>
      </w:r>
      <w:r w:rsidR="00242875">
        <w:t>we find</w:t>
      </w:r>
      <w:r>
        <w:t xml:space="preserve"> more uncertainty about what to do with 8 hours of </w:t>
      </w:r>
      <w:r w:rsidR="00CD6B16">
        <w:t>advance notice</w:t>
      </w:r>
      <w:r>
        <w:t xml:space="preserve"> than with 4 hours, </w:t>
      </w:r>
      <w:r w:rsidR="00242875">
        <w:t>which may indicate</w:t>
      </w:r>
      <w:r>
        <w:t xml:space="preserve"> that </w:t>
      </w:r>
      <w:r w:rsidR="00997D68">
        <w:t xml:space="preserve">either 8 hours is too much time before the event occurs or that </w:t>
      </w:r>
      <w:r>
        <w:t xml:space="preserve">many respondents </w:t>
      </w:r>
      <w:r w:rsidR="009856AD">
        <w:t xml:space="preserve">do not </w:t>
      </w:r>
      <w:r w:rsidR="005043D0">
        <w:t>have a well conceptualized list</w:t>
      </w:r>
      <w:r>
        <w:t xml:space="preserve"> of the </w:t>
      </w:r>
      <w:r w:rsidR="005043D0">
        <w:t xml:space="preserve">kinds actions </w:t>
      </w:r>
      <w:r>
        <w:t xml:space="preserve">they could </w:t>
      </w:r>
      <w:r w:rsidR="005043D0">
        <w:t xml:space="preserve">take to prepare for severe weather </w:t>
      </w:r>
      <w:r>
        <w:t xml:space="preserve">with more </w:t>
      </w:r>
      <w:r w:rsidR="00CD6B16">
        <w:t>time</w:t>
      </w:r>
      <w:r>
        <w:t xml:space="preserve">. </w:t>
      </w:r>
      <w:r w:rsidR="00EE1EE1">
        <w:t xml:space="preserve">It is important to recognize that respondents in our survey were likely working with knowledge of the current system to help them visualize what they would do in a completely different system. While </w:t>
      </w:r>
      <w:r w:rsidR="00077DCD">
        <w:t xml:space="preserve">some people may </w:t>
      </w:r>
      <w:r w:rsidR="00EE1EE1">
        <w:t xml:space="preserve">know their routine when given 15 minutes of lead time, they may have never thought about all of the additional </w:t>
      </w:r>
      <w:r w:rsidR="005043D0">
        <w:t xml:space="preserve">actions </w:t>
      </w:r>
      <w:r w:rsidR="009856AD">
        <w:t xml:space="preserve">they may </w:t>
      </w:r>
      <w:r w:rsidR="00EE1EE1">
        <w:t xml:space="preserve">want to </w:t>
      </w:r>
      <w:r w:rsidR="005043D0">
        <w:t xml:space="preserve">take </w:t>
      </w:r>
      <w:r w:rsidR="00EE1EE1">
        <w:t>given hours of</w:t>
      </w:r>
      <w:r w:rsidR="00CD6B16">
        <w:t xml:space="preserve"> advance notice</w:t>
      </w:r>
      <w:r w:rsidR="00EE1EE1">
        <w:t>.</w:t>
      </w:r>
      <w:r w:rsidR="00332B43">
        <w:t xml:space="preserve"> </w:t>
      </w:r>
      <w:r w:rsidR="00E6143B" w:rsidRPr="00E6143B">
        <w:t xml:space="preserve">When the respondents are stratified by region, we do see a slightly higher proportion of those in less tornado-prone areas (the eastern and western regions of the US) stating that they were unsure of </w:t>
      </w:r>
      <w:r w:rsidR="00E6143B" w:rsidRPr="00E6143B">
        <w:lastRenderedPageBreak/>
        <w:t xml:space="preserve">what they should do in both time categories. </w:t>
      </w:r>
      <w:r w:rsidR="00E6143B">
        <w:t>Within the 4-hour category,</w:t>
      </w:r>
      <w:r w:rsidR="00E6143B" w:rsidRPr="00E6143B">
        <w:t xml:space="preserve"> the eastern and western regions</w:t>
      </w:r>
      <w:r w:rsidR="00E6143B">
        <w:t xml:space="preserve"> show 2.</w:t>
      </w:r>
      <w:r w:rsidR="00543017">
        <w:t>4</w:t>
      </w:r>
      <w:r w:rsidR="00E6143B">
        <w:t>% of responses in</w:t>
      </w:r>
      <w:r w:rsidR="00E6143B" w:rsidRPr="00E6143B">
        <w:t xml:space="preserve"> the unsure category</w:t>
      </w:r>
      <w:r w:rsidR="00E6143B">
        <w:t xml:space="preserve"> while</w:t>
      </w:r>
      <w:r w:rsidR="00E6143B" w:rsidRPr="00E6143B">
        <w:t xml:space="preserve"> the central and southern regions</w:t>
      </w:r>
      <w:r w:rsidR="00E6143B">
        <w:t xml:space="preserve"> show</w:t>
      </w:r>
      <w:r w:rsidR="00E6143B" w:rsidRPr="00E6143B">
        <w:t xml:space="preserve"> </w:t>
      </w:r>
      <w:r w:rsidR="00E6143B">
        <w:t xml:space="preserve">1.6% in the </w:t>
      </w:r>
      <w:r w:rsidR="00762134">
        <w:t>same</w:t>
      </w:r>
      <w:r w:rsidR="00E6143B">
        <w:t xml:space="preserve"> category</w:t>
      </w:r>
      <w:r w:rsidR="00762134">
        <w:t xml:space="preserve"> (the same percentages in the 8-hour category are 2.8% for the eastern and western regions vs. 1.</w:t>
      </w:r>
      <w:r w:rsidR="00543017">
        <w:t>9</w:t>
      </w:r>
      <w:r w:rsidR="00762134">
        <w:t>% for the central and southern regions)</w:t>
      </w:r>
      <w:r w:rsidR="00E6143B" w:rsidRPr="00E6143B">
        <w:t>.  We find a similar result when the data is stratified by education level. Those with less education (i.e. a high school degree or lower) said they were unsure of what to do more often tha</w:t>
      </w:r>
      <w:r w:rsidR="00543017">
        <w:t>n</w:t>
      </w:r>
      <w:r w:rsidR="00E6143B" w:rsidRPr="00E6143B">
        <w:t xml:space="preserve"> those with more education (</w:t>
      </w:r>
      <w:r w:rsidR="00E6143B">
        <w:t>3.2%</w:t>
      </w:r>
      <w:r w:rsidR="00E6143B" w:rsidRPr="00E6143B">
        <w:t xml:space="preserve"> vs. </w:t>
      </w:r>
      <w:r w:rsidR="00E6143B">
        <w:t>1.4%</w:t>
      </w:r>
      <w:r w:rsidR="00762134">
        <w:t xml:space="preserve"> in the 4-hour category and 3.0% vs. 2.0% in the 8-hour category</w:t>
      </w:r>
      <w:r w:rsidR="00E6143B" w:rsidRPr="00E6143B">
        <w:t>, respectively).</w:t>
      </w:r>
      <w:r w:rsidR="00E6143B">
        <w:t xml:space="preserve"> </w:t>
      </w:r>
      <w:r w:rsidR="0004208B">
        <w:t xml:space="preserve">Given that education and prior experience may help residents understand what actions to take to prepare for these events, </w:t>
      </w:r>
      <w:r w:rsidR="00332B43">
        <w:t>we follow recent reports from the National Oceanic and Atmospheric Administration and the National Academ</w:t>
      </w:r>
      <w:r w:rsidR="00F721E9">
        <w:t>ies</w:t>
      </w:r>
      <w:r w:rsidR="00332B43">
        <w:t xml:space="preserve"> of Science</w:t>
      </w:r>
      <w:r w:rsidR="00F721E9">
        <w:t>s</w:t>
      </w:r>
      <w:r w:rsidR="00332B43">
        <w:t xml:space="preserve"> in emphasizing</w:t>
      </w:r>
      <w:r>
        <w:t xml:space="preserve"> the need </w:t>
      </w:r>
      <w:r w:rsidR="005043D0">
        <w:t xml:space="preserve">for </w:t>
      </w:r>
      <w:r w:rsidR="00332B43">
        <w:t xml:space="preserve">collaborative work between the physical and social sciences in the weather enterprise (NOAA 2015, NAS 2018). We believe that implementing changes in product structure must </w:t>
      </w:r>
      <w:r>
        <w:t xml:space="preserve">coincide with an education or information campaign that explains the nature of the change and </w:t>
      </w:r>
      <w:r w:rsidR="00332B43">
        <w:t xml:space="preserve">how residents </w:t>
      </w:r>
      <w:r w:rsidR="005043D0">
        <w:t>can utilize that change to enhance their safety and resilience</w:t>
      </w:r>
      <w:r w:rsidR="00332B43">
        <w:t xml:space="preserve">. As related to this work, we believe an education campaign should include information on </w:t>
      </w:r>
      <w:r>
        <w:t xml:space="preserve">some of the </w:t>
      </w:r>
      <w:r w:rsidR="005043D0">
        <w:t xml:space="preserve">kinds of actions </w:t>
      </w:r>
      <w:r>
        <w:t xml:space="preserve">that people </w:t>
      </w:r>
      <w:r w:rsidRPr="00332B43">
        <w:rPr>
          <w:i/>
          <w:u w:val="single"/>
        </w:rPr>
        <w:t>can</w:t>
      </w:r>
      <w:r w:rsidR="00332B43">
        <w:rPr>
          <w:i/>
          <w:u w:val="single"/>
        </w:rPr>
        <w:t xml:space="preserve"> and should</w:t>
      </w:r>
      <w:r w:rsidRPr="00332B43">
        <w:rPr>
          <w:i/>
        </w:rPr>
        <w:t xml:space="preserve"> </w:t>
      </w:r>
      <w:r w:rsidR="005043D0">
        <w:t xml:space="preserve">take </w:t>
      </w:r>
      <w:r w:rsidR="00A67E5D">
        <w:t xml:space="preserve">multiple </w:t>
      </w:r>
      <w:r>
        <w:t>hours before a tornado occurs to make sure that they are safe if (when) the storm hits.</w:t>
      </w:r>
      <w:r w:rsidR="00782818">
        <w:t xml:space="preserve"> </w:t>
      </w:r>
    </w:p>
    <w:p w14:paraId="5ED45D99" w14:textId="011A3C45" w:rsidR="00EE1EE1" w:rsidRDefault="00E45DF4" w:rsidP="00054AF5">
      <w:pPr>
        <w:ind w:firstLine="720"/>
      </w:pPr>
      <w:r>
        <w:t xml:space="preserve">We also recognize the limitations of this work, which leaves room for future projects and research paths. First and foremost, we </w:t>
      </w:r>
      <w:r w:rsidR="005043D0">
        <w:t>focus on anticipated</w:t>
      </w:r>
      <w:r>
        <w:t xml:space="preserve"> </w:t>
      </w:r>
      <w:r w:rsidR="00997D68">
        <w:t>actions to a hypothetical event, which may differ from actual responses to a real event. Studies of actual behavior after tornadoes are needed to understand if and how intended actions differ from actual responses. Second, we stud</w:t>
      </w:r>
      <w:r w:rsidR="00ED2463">
        <w:t>y</w:t>
      </w:r>
      <w:r w:rsidR="00997D68">
        <w:t xml:space="preserve"> intended responses </w:t>
      </w:r>
      <w:r>
        <w:t xml:space="preserve">to a single hazard; tornadoes. While there is likely some overlap in </w:t>
      </w:r>
      <w:r w:rsidR="005043D0">
        <w:t xml:space="preserve">preparatory </w:t>
      </w:r>
      <w:r>
        <w:t xml:space="preserve">actions, many of the </w:t>
      </w:r>
      <w:r w:rsidR="005043D0">
        <w:t xml:space="preserve">relevant </w:t>
      </w:r>
      <w:r>
        <w:t xml:space="preserve">response actions </w:t>
      </w:r>
      <w:r w:rsidR="005043D0">
        <w:t xml:space="preserve">for other weather hazards </w:t>
      </w:r>
      <w:r>
        <w:t xml:space="preserve">would likely </w:t>
      </w:r>
      <w:r>
        <w:lastRenderedPageBreak/>
        <w:t xml:space="preserve">be different, meaning </w:t>
      </w:r>
      <w:r w:rsidR="005043D0">
        <w:t xml:space="preserve">the </w:t>
      </w:r>
      <w:r>
        <w:t xml:space="preserve">results </w:t>
      </w:r>
      <w:r w:rsidR="005043D0">
        <w:t xml:space="preserve">of this study </w:t>
      </w:r>
      <w:r>
        <w:t>are</w:t>
      </w:r>
      <w:r w:rsidR="00360DE1">
        <w:t xml:space="preserve"> </w:t>
      </w:r>
      <w:r>
        <w:t>n</w:t>
      </w:r>
      <w:r w:rsidR="00360DE1">
        <w:t>o</w:t>
      </w:r>
      <w:r>
        <w:t xml:space="preserve">t </w:t>
      </w:r>
      <w:r w:rsidR="005043D0">
        <w:t xml:space="preserve">likely to be </w:t>
      </w:r>
      <w:r>
        <w:t xml:space="preserve">generalizable to </w:t>
      </w:r>
      <w:r w:rsidR="005043D0">
        <w:t xml:space="preserve">other categories of </w:t>
      </w:r>
      <w:r>
        <w:t xml:space="preserve">weather hazards. </w:t>
      </w:r>
      <w:r w:rsidR="00997D68">
        <w:t xml:space="preserve">Additionally, </w:t>
      </w:r>
      <w:r>
        <w:t xml:space="preserve">our survey data is collected </w:t>
      </w:r>
      <w:r w:rsidR="005043D0">
        <w:t xml:space="preserve">using an </w:t>
      </w:r>
      <w:r>
        <w:t>online</w:t>
      </w:r>
      <w:r w:rsidR="005043D0">
        <w:t xml:space="preserve"> platform</w:t>
      </w:r>
      <w:r>
        <w:t xml:space="preserve">, meaning vulnerable populations (like the elderly or those living in poverty) are likely </w:t>
      </w:r>
      <w:r w:rsidR="005043D0">
        <w:t>to be underrepresented</w:t>
      </w:r>
      <w:r>
        <w:t xml:space="preserve">. We therefore see a need to employ multiple collection methods, including interviews and focus groups that target these populations to ensure results are generalizable. Finally, we would again like to emphasize the </w:t>
      </w:r>
      <w:r w:rsidR="00F031FB">
        <w:t xml:space="preserve">need for accompanying education campaigns, which suggests a close relationship between researchers, forecasters, </w:t>
      </w:r>
      <w:r w:rsidR="00D372BB">
        <w:t xml:space="preserve">emergency responders </w:t>
      </w:r>
      <w:r w:rsidR="00F031FB">
        <w:t xml:space="preserve">and communities </w:t>
      </w:r>
      <w:r w:rsidR="00D372BB">
        <w:t>will be</w:t>
      </w:r>
      <w:r w:rsidR="00F031FB">
        <w:t xml:space="preserve"> needed if a new</w:t>
      </w:r>
      <w:r w:rsidR="00B66B32">
        <w:t xml:space="preserve"> </w:t>
      </w:r>
      <w:r w:rsidR="00F031FB">
        <w:t>system is to be implemented.</w:t>
      </w:r>
      <w:r w:rsidR="00054AF5">
        <w:t xml:space="preserve"> We hope that this work begins the process of understanding if and how response actions may change with more notice, and where we should be investing time and money in education campaigns as the forecast system continues to evolve.</w:t>
      </w:r>
    </w:p>
    <w:p w14:paraId="539DD578" w14:textId="77777777" w:rsidR="0011625E" w:rsidRDefault="0011625E" w:rsidP="007B43FD"/>
    <w:p w14:paraId="69133E86" w14:textId="3A187A69" w:rsidR="008F4BAD" w:rsidRPr="004E54E4" w:rsidRDefault="008F4BAD" w:rsidP="008F4BAD">
      <w:r w:rsidRPr="004E54E4">
        <w:rPr>
          <w:i/>
        </w:rPr>
        <w:t>Acknowledgments:</w:t>
      </w:r>
      <w:r w:rsidRPr="004E54E4">
        <w:t xml:space="preserve"> </w:t>
      </w:r>
      <w:r w:rsidR="00832876" w:rsidRPr="00832876">
        <w:t>The data for this project were collected with support from the University of Oklahoma. The analysis was conducted with support from NOAA’s Office of Weather and Air Quality through the U.S. Weather Research Program.</w:t>
      </w:r>
    </w:p>
    <w:p w14:paraId="22528408" w14:textId="77777777" w:rsidR="007B43FD" w:rsidRPr="00E06311" w:rsidRDefault="007B43FD" w:rsidP="007B43FD">
      <w:r w:rsidRPr="00E06311">
        <w:t xml:space="preserve"> </w:t>
      </w:r>
    </w:p>
    <w:p w14:paraId="529FE938" w14:textId="7801AB8F" w:rsidR="007B43FD" w:rsidRDefault="007B43FD" w:rsidP="007B43FD">
      <w:pPr>
        <w:rPr>
          <w:b/>
          <w:sz w:val="28"/>
        </w:rPr>
      </w:pPr>
      <w:bookmarkStart w:id="6" w:name="_Toc481584218"/>
      <w:r w:rsidRPr="008C6B76">
        <w:rPr>
          <w:b/>
          <w:sz w:val="28"/>
        </w:rPr>
        <w:t>References</w:t>
      </w:r>
      <w:bookmarkEnd w:id="6"/>
    </w:p>
    <w:p w14:paraId="2564473C" w14:textId="488EDD28" w:rsidR="001E1079" w:rsidRPr="001E1079" w:rsidRDefault="001E1079" w:rsidP="001E1079">
      <w:pPr>
        <w:ind w:left="720" w:hanging="720"/>
        <w:rPr>
          <w:color w:val="000000" w:themeColor="text1"/>
        </w:rPr>
      </w:pPr>
      <w:r w:rsidRPr="001E1079">
        <w:rPr>
          <w:rFonts w:eastAsiaTheme="minorHAnsi"/>
          <w:color w:val="000000" w:themeColor="text1"/>
          <w:lang w:bidi="ar-SA"/>
        </w:rPr>
        <w:t>Armitage</w:t>
      </w:r>
      <w:r>
        <w:rPr>
          <w:rFonts w:eastAsiaTheme="minorHAnsi"/>
          <w:color w:val="000000" w:themeColor="text1"/>
          <w:lang w:bidi="ar-SA"/>
        </w:rPr>
        <w:t>,</w:t>
      </w:r>
      <w:r w:rsidRPr="001E1079">
        <w:rPr>
          <w:rFonts w:eastAsiaTheme="minorHAnsi"/>
          <w:color w:val="000000" w:themeColor="text1"/>
          <w:lang w:bidi="ar-SA"/>
        </w:rPr>
        <w:t xml:space="preserve"> C</w:t>
      </w:r>
      <w:r>
        <w:rPr>
          <w:rFonts w:eastAsiaTheme="minorHAnsi"/>
          <w:color w:val="000000" w:themeColor="text1"/>
          <w:lang w:bidi="ar-SA"/>
        </w:rPr>
        <w:t>.</w:t>
      </w:r>
      <w:r w:rsidRPr="001E1079">
        <w:rPr>
          <w:rFonts w:eastAsiaTheme="minorHAnsi"/>
          <w:color w:val="000000" w:themeColor="text1"/>
          <w:lang w:bidi="ar-SA"/>
        </w:rPr>
        <w:t>, </w:t>
      </w:r>
      <w:r>
        <w:rPr>
          <w:rFonts w:eastAsiaTheme="minorHAnsi"/>
          <w:color w:val="000000" w:themeColor="text1"/>
          <w:lang w:bidi="ar-SA"/>
        </w:rPr>
        <w:t xml:space="preserve">and M. </w:t>
      </w:r>
      <w:r w:rsidRPr="001E1079">
        <w:rPr>
          <w:rFonts w:eastAsiaTheme="minorHAnsi"/>
          <w:color w:val="000000" w:themeColor="text1"/>
          <w:lang w:bidi="ar-SA"/>
        </w:rPr>
        <w:t>Conner</w:t>
      </w:r>
      <w:r>
        <w:rPr>
          <w:rFonts w:eastAsiaTheme="minorHAnsi"/>
          <w:color w:val="000000" w:themeColor="text1"/>
          <w:lang w:bidi="ar-SA"/>
        </w:rPr>
        <w:t xml:space="preserve">, 2001: </w:t>
      </w:r>
      <w:r w:rsidRPr="001E1079">
        <w:rPr>
          <w:rFonts w:eastAsiaTheme="minorHAnsi"/>
          <w:color w:val="000000" w:themeColor="text1"/>
          <w:lang w:bidi="ar-SA"/>
        </w:rPr>
        <w:t xml:space="preserve">Efficacy of the theory of planned </w:t>
      </w:r>
      <w:r>
        <w:rPr>
          <w:rFonts w:eastAsiaTheme="minorHAnsi"/>
          <w:color w:val="000000" w:themeColor="text1"/>
          <w:lang w:bidi="ar-SA"/>
        </w:rPr>
        <w:t>behavior:</w:t>
      </w:r>
      <w:r w:rsidRPr="001E1079">
        <w:rPr>
          <w:rFonts w:eastAsiaTheme="minorHAnsi"/>
          <w:color w:val="000000" w:themeColor="text1"/>
          <w:lang w:bidi="ar-SA"/>
        </w:rPr>
        <w:t xml:space="preserve"> A meta</w:t>
      </w:r>
      <w:r w:rsidRPr="001E1079">
        <w:rPr>
          <w:rFonts w:ascii="Cambria Math" w:eastAsiaTheme="minorHAnsi" w:hAnsi="Cambria Math" w:cs="Cambria Math"/>
          <w:color w:val="000000" w:themeColor="text1"/>
          <w:lang w:bidi="ar-SA"/>
        </w:rPr>
        <w:t>‐</w:t>
      </w:r>
      <w:r w:rsidRPr="001E1079">
        <w:rPr>
          <w:rFonts w:eastAsiaTheme="minorHAnsi"/>
          <w:color w:val="000000" w:themeColor="text1"/>
          <w:lang w:bidi="ar-SA"/>
        </w:rPr>
        <w:t>analytic review. </w:t>
      </w:r>
      <w:r w:rsidRPr="001E1079">
        <w:rPr>
          <w:rFonts w:eastAsiaTheme="minorHAnsi"/>
          <w:i/>
          <w:iCs/>
          <w:color w:val="000000" w:themeColor="text1"/>
          <w:lang w:bidi="ar-SA"/>
        </w:rPr>
        <w:t>British Journal of Social Psychology</w:t>
      </w:r>
      <w:r w:rsidRPr="001E1079">
        <w:rPr>
          <w:rFonts w:eastAsiaTheme="minorHAnsi"/>
          <w:color w:val="000000" w:themeColor="text1"/>
          <w:lang w:bidi="ar-SA"/>
        </w:rPr>
        <w:t>,</w:t>
      </w:r>
      <w:r w:rsidRPr="001E1079">
        <w:rPr>
          <w:rFonts w:eastAsiaTheme="minorHAnsi"/>
          <w:b/>
          <w:bCs/>
          <w:color w:val="000000" w:themeColor="text1"/>
          <w:lang w:bidi="ar-SA"/>
        </w:rPr>
        <w:t xml:space="preserve"> 40</w:t>
      </w:r>
      <w:r>
        <w:rPr>
          <w:rFonts w:eastAsiaTheme="minorHAnsi"/>
          <w:color w:val="000000" w:themeColor="text1"/>
          <w:lang w:bidi="ar-SA"/>
        </w:rPr>
        <w:t xml:space="preserve">, </w:t>
      </w:r>
      <w:r w:rsidRPr="001E1079">
        <w:rPr>
          <w:rFonts w:eastAsiaTheme="minorHAnsi"/>
          <w:color w:val="000000" w:themeColor="text1"/>
          <w:lang w:bidi="ar-SA"/>
        </w:rPr>
        <w:t>4</w:t>
      </w:r>
      <w:r>
        <w:rPr>
          <w:rFonts w:eastAsiaTheme="minorHAnsi"/>
          <w:color w:val="000000" w:themeColor="text1"/>
          <w:lang w:bidi="ar-SA"/>
        </w:rPr>
        <w:t xml:space="preserve">, </w:t>
      </w:r>
      <w:r w:rsidRPr="001E1079">
        <w:rPr>
          <w:rFonts w:eastAsiaTheme="minorHAnsi"/>
          <w:color w:val="000000" w:themeColor="text1"/>
          <w:lang w:bidi="ar-SA"/>
        </w:rPr>
        <w:t>471–499.</w:t>
      </w:r>
    </w:p>
    <w:p w14:paraId="59603669" w14:textId="3E462E20" w:rsidR="000504B0" w:rsidRPr="001E1079" w:rsidRDefault="000504B0" w:rsidP="000504B0">
      <w:pPr>
        <w:ind w:left="720" w:hanging="720"/>
      </w:pPr>
      <w:proofErr w:type="spellStart"/>
      <w:r w:rsidRPr="001E1079">
        <w:t>Balluz</w:t>
      </w:r>
      <w:proofErr w:type="spellEnd"/>
      <w:r w:rsidRPr="001E1079">
        <w:t xml:space="preserve">, L., </w:t>
      </w:r>
      <w:proofErr w:type="spellStart"/>
      <w:r w:rsidRPr="001E1079">
        <w:t>Schieve</w:t>
      </w:r>
      <w:proofErr w:type="spellEnd"/>
      <w:r w:rsidRPr="001E1079">
        <w:t xml:space="preserve">, L., Holmes, T., </w:t>
      </w:r>
      <w:proofErr w:type="spellStart"/>
      <w:r w:rsidRPr="001E1079">
        <w:t>Kiezak</w:t>
      </w:r>
      <w:proofErr w:type="spellEnd"/>
      <w:r w:rsidRPr="001E1079">
        <w:t xml:space="preserve">, S. and </w:t>
      </w:r>
      <w:proofErr w:type="spellStart"/>
      <w:r w:rsidRPr="001E1079">
        <w:t>Malilay</w:t>
      </w:r>
      <w:proofErr w:type="spellEnd"/>
      <w:r w:rsidRPr="001E1079">
        <w:t xml:space="preserve">, J., 2000: Predictors for people’s response to a tornado warning: Arkansas, 1 March 1997. </w:t>
      </w:r>
      <w:r w:rsidRPr="001E1079">
        <w:rPr>
          <w:i/>
        </w:rPr>
        <w:t>Disasters</w:t>
      </w:r>
      <w:r w:rsidRPr="001E1079">
        <w:t xml:space="preserve">, </w:t>
      </w:r>
      <w:r w:rsidRPr="001E1079">
        <w:rPr>
          <w:b/>
        </w:rPr>
        <w:t>24</w:t>
      </w:r>
      <w:r w:rsidRPr="001E1079">
        <w:t>, 71-77.</w:t>
      </w:r>
    </w:p>
    <w:p w14:paraId="48C782DE" w14:textId="5D59A685" w:rsidR="000504B0" w:rsidRPr="00665C7C" w:rsidRDefault="000504B0" w:rsidP="000504B0">
      <w:pPr>
        <w:ind w:left="720" w:hanging="720"/>
        <w:rPr>
          <w:rStyle w:val="nlmstring-name"/>
          <w:color w:val="000000"/>
        </w:rPr>
      </w:pPr>
      <w:r w:rsidRPr="001E1079">
        <w:rPr>
          <w:rStyle w:val="artauthors"/>
          <w:color w:val="000000"/>
        </w:rPr>
        <w:lastRenderedPageBreak/>
        <w:t>Casteel, M.A.</w:t>
      </w:r>
      <w:r w:rsidRPr="001E1079">
        <w:rPr>
          <w:color w:val="000000"/>
        </w:rPr>
        <w:t xml:space="preserve">, </w:t>
      </w:r>
      <w:r w:rsidRPr="001E1079">
        <w:rPr>
          <w:rStyle w:val="year"/>
          <w:color w:val="000000"/>
        </w:rPr>
        <w:t>2016</w:t>
      </w:r>
      <w:r w:rsidRPr="00665C7C">
        <w:rPr>
          <w:color w:val="000000"/>
        </w:rPr>
        <w:t xml:space="preserve">: </w:t>
      </w:r>
      <w:r w:rsidRPr="00665C7C">
        <w:rPr>
          <w:rStyle w:val="Hyperlink"/>
          <w:color w:val="000000" w:themeColor="text1"/>
          <w:u w:val="none"/>
        </w:rPr>
        <w:t>Communicating Increased Risk: An Empirical Investigation of the National Weather Service’s Impact-Based Warnings.</w:t>
      </w:r>
      <w:r w:rsidRPr="00665C7C">
        <w:rPr>
          <w:color w:val="000000" w:themeColor="text1"/>
        </w:rPr>
        <w:t xml:space="preserve"> </w:t>
      </w:r>
      <w:proofErr w:type="spellStart"/>
      <w:r w:rsidRPr="00665C7C">
        <w:rPr>
          <w:rStyle w:val="journalname"/>
          <w:i/>
          <w:iCs/>
          <w:color w:val="000000"/>
        </w:rPr>
        <w:t>Wea</w:t>
      </w:r>
      <w:proofErr w:type="spellEnd"/>
      <w:r w:rsidRPr="00665C7C">
        <w:rPr>
          <w:rStyle w:val="journalname"/>
          <w:i/>
          <w:iCs/>
          <w:color w:val="000000"/>
        </w:rPr>
        <w:t>. Climate Soc.,</w:t>
      </w:r>
      <w:r w:rsidRPr="00665C7C">
        <w:rPr>
          <w:color w:val="000000"/>
        </w:rPr>
        <w:t xml:space="preserve"> </w:t>
      </w:r>
      <w:r w:rsidRPr="00665C7C">
        <w:rPr>
          <w:rStyle w:val="volume"/>
          <w:rFonts w:eastAsiaTheme="majorEastAsia"/>
          <w:b/>
          <w:bCs/>
          <w:color w:val="000000"/>
        </w:rPr>
        <w:t>8</w:t>
      </w:r>
      <w:r w:rsidRPr="00665C7C">
        <w:rPr>
          <w:color w:val="000000"/>
        </w:rPr>
        <w:t xml:space="preserve">, </w:t>
      </w:r>
      <w:r w:rsidRPr="00665C7C">
        <w:rPr>
          <w:rStyle w:val="page"/>
          <w:rFonts w:eastAsia="Cambria"/>
          <w:color w:val="000000"/>
        </w:rPr>
        <w:t xml:space="preserve">219–232, </w:t>
      </w:r>
      <w:hyperlink r:id="rId9" w:history="1">
        <w:r w:rsidRPr="00665C7C">
          <w:rPr>
            <w:rStyle w:val="Hyperlink"/>
            <w:color w:val="800000"/>
          </w:rPr>
          <w:t>https://doi.org/10.1175/WCAS-D-15-0044.1</w:t>
        </w:r>
      </w:hyperlink>
    </w:p>
    <w:p w14:paraId="0226B62C" w14:textId="2EF6AFEA" w:rsidR="006A0097" w:rsidRPr="000504B0" w:rsidRDefault="006A0097" w:rsidP="006A0097">
      <w:pPr>
        <w:ind w:left="720" w:hanging="720"/>
        <w:rPr>
          <w:color w:val="000000"/>
          <w:highlight w:val="green"/>
        </w:rPr>
      </w:pPr>
      <w:r w:rsidRPr="00665C7C">
        <w:rPr>
          <w:rStyle w:val="nlmstring-name"/>
          <w:color w:val="000000"/>
        </w:rPr>
        <w:t xml:space="preserve">Casteel, </w:t>
      </w:r>
      <w:r w:rsidRPr="00665C7C">
        <w:rPr>
          <w:rStyle w:val="nlmgiven-names"/>
          <w:color w:val="000000"/>
        </w:rPr>
        <w:t>M. A.</w:t>
      </w:r>
      <w:r w:rsidRPr="00665C7C">
        <w:rPr>
          <w:color w:val="000000"/>
        </w:rPr>
        <w:t xml:space="preserve">, </w:t>
      </w:r>
      <w:r w:rsidRPr="00665C7C">
        <w:rPr>
          <w:rStyle w:val="nlmyear"/>
          <w:color w:val="000000"/>
        </w:rPr>
        <w:t>2018</w:t>
      </w:r>
      <w:r w:rsidRPr="00665C7C">
        <w:rPr>
          <w:color w:val="000000"/>
        </w:rPr>
        <w:t xml:space="preserve">: </w:t>
      </w:r>
      <w:r w:rsidRPr="00665C7C">
        <w:rPr>
          <w:rStyle w:val="nlmarticle-title"/>
          <w:color w:val="000000"/>
        </w:rPr>
        <w:t xml:space="preserve">An empirical assessment of </w:t>
      </w:r>
      <w:proofErr w:type="gramStart"/>
      <w:r w:rsidRPr="00665C7C">
        <w:rPr>
          <w:rStyle w:val="nlmarticle-title"/>
          <w:color w:val="000000"/>
        </w:rPr>
        <w:t>impact based</w:t>
      </w:r>
      <w:proofErr w:type="gramEnd"/>
      <w:r w:rsidRPr="00665C7C">
        <w:rPr>
          <w:rStyle w:val="nlmarticle-title"/>
          <w:color w:val="000000"/>
        </w:rPr>
        <w:t xml:space="preserve"> tornado warnings on shelter in place decisions</w:t>
      </w:r>
      <w:r w:rsidRPr="00665C7C">
        <w:rPr>
          <w:color w:val="000000"/>
        </w:rPr>
        <w:t xml:space="preserve">. </w:t>
      </w:r>
      <w:r w:rsidRPr="00665C7C">
        <w:rPr>
          <w:i/>
          <w:iCs/>
          <w:color w:val="000000"/>
        </w:rPr>
        <w:t xml:space="preserve">Int. J. Disaster Risk </w:t>
      </w:r>
      <w:proofErr w:type="spellStart"/>
      <w:r w:rsidRPr="00665C7C">
        <w:rPr>
          <w:i/>
          <w:iCs/>
          <w:color w:val="000000"/>
        </w:rPr>
        <w:t>Reduct</w:t>
      </w:r>
      <w:proofErr w:type="spellEnd"/>
      <w:r w:rsidRPr="00665C7C">
        <w:rPr>
          <w:i/>
          <w:iCs/>
          <w:color w:val="000000"/>
        </w:rPr>
        <w:t>.</w:t>
      </w:r>
      <w:r w:rsidRPr="00665C7C">
        <w:rPr>
          <w:color w:val="000000"/>
        </w:rPr>
        <w:t xml:space="preserve">, </w:t>
      </w:r>
      <w:hyperlink r:id="rId10" w:tgtFrame="_blank" w:history="1">
        <w:r w:rsidRPr="00665C7C">
          <w:rPr>
            <w:rStyle w:val="Hyperlink"/>
            <w:color w:val="800000"/>
          </w:rPr>
          <w:t>https://doi.org/10.1016/j.ijdrr.2018.01.036</w:t>
        </w:r>
      </w:hyperlink>
      <w:r w:rsidRPr="00665C7C">
        <w:rPr>
          <w:color w:val="000000"/>
        </w:rPr>
        <w:t>, in press.</w:t>
      </w:r>
    </w:p>
    <w:p w14:paraId="63113CE4" w14:textId="110E011B" w:rsidR="00F30228" w:rsidRDefault="006A0097" w:rsidP="00F30228">
      <w:pPr>
        <w:ind w:left="720" w:hanging="720"/>
      </w:pPr>
      <w:r w:rsidRPr="00414ABB">
        <w:t>Chaney, P.L., Weaver, G.S., Youngblood, S.A. and Pitts, K., 2013: Household preparedness for tornado hazards: The 2011 disaster in DeKalb County, Alabama. </w:t>
      </w:r>
      <w:proofErr w:type="spellStart"/>
      <w:r w:rsidRPr="00414ABB">
        <w:rPr>
          <w:i/>
          <w:iCs/>
        </w:rPr>
        <w:t>Wea</w:t>
      </w:r>
      <w:proofErr w:type="spellEnd"/>
      <w:r w:rsidRPr="00414ABB">
        <w:rPr>
          <w:i/>
          <w:iCs/>
        </w:rPr>
        <w:t>., Climate, Soc.</w:t>
      </w:r>
      <w:r w:rsidRPr="00414ABB">
        <w:t>, </w:t>
      </w:r>
      <w:r w:rsidRPr="00414ABB">
        <w:rPr>
          <w:b/>
          <w:iCs/>
        </w:rPr>
        <w:t>5</w:t>
      </w:r>
      <w:r w:rsidRPr="00414ABB">
        <w:t>, 345-358.</w:t>
      </w:r>
    </w:p>
    <w:p w14:paraId="614D14A4" w14:textId="577CC8B5" w:rsidR="00787D75" w:rsidRDefault="00787D75" w:rsidP="00F30228">
      <w:pPr>
        <w:ind w:left="720" w:hanging="720"/>
      </w:pPr>
      <w:r>
        <w:t xml:space="preserve">Cross, R. N., D. S. Ladue, T. Kloss, and S. Ernst, 2019: </w:t>
      </w:r>
      <w:r w:rsidRPr="00787D75">
        <w:t>When Uncertainty Is Certain: The Creation and Effects of Amiable Distrust between Emergency Managers and Forecast Information in the Southeastern United States</w:t>
      </w:r>
      <w:r>
        <w:t>, 14</w:t>
      </w:r>
      <w:r w:rsidRPr="00787D75">
        <w:rPr>
          <w:vertAlign w:val="superscript"/>
        </w:rPr>
        <w:t>th</w:t>
      </w:r>
      <w:r>
        <w:t xml:space="preserve"> </w:t>
      </w:r>
      <w:proofErr w:type="spellStart"/>
      <w:r>
        <w:t>Symp</w:t>
      </w:r>
      <w:proofErr w:type="spellEnd"/>
      <w:r>
        <w:t>. On Societal Applications, Phoenix, AZ</w:t>
      </w:r>
      <w:r w:rsidRPr="00787D75">
        <w:t>, Amer. Meteor. Soc., https://ams.confex.com/ams/2019Annual/meetingapp.cgi/Paper/352381.</w:t>
      </w:r>
    </w:p>
    <w:p w14:paraId="3D9C1005" w14:textId="06F8C560" w:rsidR="003A56C0" w:rsidRPr="003A56C0" w:rsidRDefault="003A56C0" w:rsidP="003A56C0">
      <w:pPr>
        <w:ind w:left="720" w:hanging="720"/>
        <w:rPr>
          <w:color w:val="000000"/>
        </w:rPr>
      </w:pPr>
      <w:r>
        <w:rPr>
          <w:color w:val="000000"/>
        </w:rPr>
        <w:t xml:space="preserve">Doswell, C. A., 1999: </w:t>
      </w:r>
      <w:r w:rsidRPr="003A56C0">
        <w:rPr>
          <w:color w:val="000000"/>
        </w:rPr>
        <w:t>Are warning lead times the most</w:t>
      </w:r>
      <w:r>
        <w:rPr>
          <w:color w:val="000000"/>
        </w:rPr>
        <w:t xml:space="preserve"> </w:t>
      </w:r>
      <w:r w:rsidRPr="003A56C0">
        <w:rPr>
          <w:color w:val="000000"/>
        </w:rPr>
        <w:t xml:space="preserve">important issue in tornado </w:t>
      </w:r>
      <w:proofErr w:type="gramStart"/>
      <w:r w:rsidRPr="003A56C0">
        <w:rPr>
          <w:color w:val="000000"/>
        </w:rPr>
        <w:t>events?</w:t>
      </w:r>
      <w:r>
        <w:rPr>
          <w:color w:val="000000"/>
        </w:rPr>
        <w:t>.</w:t>
      </w:r>
      <w:proofErr w:type="gramEnd"/>
      <w:r>
        <w:rPr>
          <w:color w:val="000000"/>
        </w:rPr>
        <w:t xml:space="preserve"> Accessed May 20, 2019, </w:t>
      </w:r>
      <w:hyperlink r:id="rId11" w:anchor="2" w:history="1">
        <w:r w:rsidRPr="00493235">
          <w:rPr>
            <w:rStyle w:val="Hyperlink"/>
          </w:rPr>
          <w:t>https://sciencepolicy.colorado.edu/zine/archives/1-29/17/editorial.html#2</w:t>
        </w:r>
      </w:hyperlink>
      <w:r>
        <w:rPr>
          <w:rStyle w:val="Hyperlink"/>
          <w:color w:val="1155CC"/>
        </w:rPr>
        <w:t xml:space="preserve">. </w:t>
      </w:r>
    </w:p>
    <w:p w14:paraId="0D0FACA0" w14:textId="1CE35BCC" w:rsidR="002B12E9" w:rsidRPr="002B12E9" w:rsidRDefault="002B12E9" w:rsidP="00F30228">
      <w:pPr>
        <w:ind w:left="720" w:hanging="720"/>
        <w:rPr>
          <w:color w:val="000000"/>
          <w:lang w:bidi="ar-SA"/>
        </w:rPr>
      </w:pPr>
      <w:r>
        <w:rPr>
          <w:color w:val="000000"/>
          <w:lang w:bidi="ar-SA"/>
        </w:rPr>
        <w:t xml:space="preserve">Ewald, R., and J. L. Guyer, 2002: </w:t>
      </w:r>
      <w:r>
        <w:rPr>
          <w:rFonts w:ascii="Times" w:eastAsiaTheme="minorHAnsi" w:hAnsi="Times" w:cs="Times"/>
          <w:color w:val="000000"/>
          <w:lang w:bidi="ar-SA"/>
        </w:rPr>
        <w:t xml:space="preserve">The Ideal Lead Time </w:t>
      </w:r>
      <w:proofErr w:type="gramStart"/>
      <w:r>
        <w:rPr>
          <w:rFonts w:ascii="Times" w:eastAsiaTheme="minorHAnsi" w:hAnsi="Times" w:cs="Times"/>
          <w:color w:val="000000"/>
          <w:lang w:bidi="ar-SA"/>
        </w:rPr>
        <w:t>For</w:t>
      </w:r>
      <w:proofErr w:type="gramEnd"/>
      <w:r>
        <w:rPr>
          <w:rFonts w:ascii="Times" w:eastAsiaTheme="minorHAnsi" w:hAnsi="Times" w:cs="Times"/>
          <w:color w:val="000000"/>
          <w:lang w:bidi="ar-SA"/>
        </w:rPr>
        <w:t xml:space="preserve"> Tornado Warnings - A Look From The Customer’s Perspective, </w:t>
      </w:r>
      <w:hyperlink r:id="rId12" w:history="1">
        <w:r w:rsidRPr="00493235">
          <w:rPr>
            <w:rStyle w:val="Hyperlink"/>
            <w:rFonts w:ascii="Times" w:eastAsiaTheme="minorHAnsi" w:hAnsi="Times" w:cs="Times"/>
            <w:lang w:bidi="ar-SA"/>
          </w:rPr>
          <w:t>https://ams.confex.com/ams/pdfpapers/47592.pdf</w:t>
        </w:r>
      </w:hyperlink>
      <w:r>
        <w:rPr>
          <w:rFonts w:ascii="Times" w:eastAsiaTheme="minorHAnsi" w:hAnsi="Times" w:cs="Times"/>
          <w:color w:val="000000"/>
          <w:lang w:bidi="ar-SA"/>
        </w:rPr>
        <w:t xml:space="preserve">. </w:t>
      </w:r>
    </w:p>
    <w:p w14:paraId="3391FFBB" w14:textId="62494B5E" w:rsidR="00D13770" w:rsidRDefault="00D13770" w:rsidP="00F30228">
      <w:pPr>
        <w:ind w:left="720" w:hanging="720"/>
        <w:rPr>
          <w:color w:val="000000"/>
          <w:lang w:bidi="ar-SA"/>
        </w:rPr>
      </w:pPr>
      <w:r>
        <w:rPr>
          <w:color w:val="000000"/>
          <w:lang w:bidi="ar-SA"/>
        </w:rPr>
        <w:t xml:space="preserve">Gutter, B. F., K. Sherman-Morris, and M. E. Brown, 2018: </w:t>
      </w:r>
      <w:r w:rsidRPr="00D13770">
        <w:rPr>
          <w:color w:val="000000"/>
          <w:lang w:bidi="ar-SA"/>
        </w:rPr>
        <w:t>Severe Weather Watches and Risk Perception in a Hypothetical Decision Experiment</w:t>
      </w:r>
      <w:r>
        <w:rPr>
          <w:color w:val="000000"/>
          <w:lang w:bidi="ar-SA"/>
        </w:rPr>
        <w:t xml:space="preserve">, </w:t>
      </w:r>
      <w:proofErr w:type="spellStart"/>
      <w:r w:rsidRPr="00900461">
        <w:rPr>
          <w:i/>
          <w:color w:val="000000"/>
          <w:lang w:bidi="ar-SA"/>
        </w:rPr>
        <w:t>Wea</w:t>
      </w:r>
      <w:proofErr w:type="spellEnd"/>
      <w:r w:rsidRPr="00900461">
        <w:rPr>
          <w:i/>
          <w:color w:val="000000"/>
          <w:lang w:bidi="ar-SA"/>
        </w:rPr>
        <w:t>. Climate Soc</w:t>
      </w:r>
      <w:r>
        <w:rPr>
          <w:color w:val="000000"/>
          <w:lang w:bidi="ar-SA"/>
        </w:rPr>
        <w:t>., 10, 613</w:t>
      </w:r>
      <w:r w:rsidRPr="002B12E9">
        <w:rPr>
          <w:rFonts w:ascii="Times" w:eastAsiaTheme="minorHAnsi" w:hAnsi="Times" w:cs="Times"/>
          <w:color w:val="000000"/>
          <w:lang w:bidi="ar-SA"/>
        </w:rPr>
        <w:t>–</w:t>
      </w:r>
      <w:r>
        <w:rPr>
          <w:rFonts w:ascii="Times" w:eastAsiaTheme="minorHAnsi" w:hAnsi="Times" w:cs="Times"/>
          <w:color w:val="000000"/>
          <w:lang w:bidi="ar-SA"/>
        </w:rPr>
        <w:t xml:space="preserve">623, </w:t>
      </w:r>
      <w:hyperlink r:id="rId13" w:history="1">
        <w:r w:rsidRPr="00493235">
          <w:rPr>
            <w:rStyle w:val="Hyperlink"/>
            <w:rFonts w:ascii="Times" w:eastAsiaTheme="minorHAnsi" w:hAnsi="Times" w:cs="Times"/>
            <w:lang w:bidi="ar-SA"/>
          </w:rPr>
          <w:t>https://doi.org/10.1175/WCAS-D-18-0001.1</w:t>
        </w:r>
      </w:hyperlink>
      <w:r>
        <w:rPr>
          <w:rFonts w:ascii="Times" w:eastAsiaTheme="minorHAnsi" w:hAnsi="Times" w:cs="Times"/>
          <w:color w:val="000000"/>
          <w:lang w:bidi="ar-SA"/>
        </w:rPr>
        <w:t xml:space="preserve">. </w:t>
      </w:r>
    </w:p>
    <w:p w14:paraId="2D4F605D" w14:textId="31E4DA28" w:rsidR="00F30228" w:rsidRPr="00F30228" w:rsidRDefault="00F30228" w:rsidP="00F30228">
      <w:pPr>
        <w:ind w:left="720" w:hanging="720"/>
        <w:rPr>
          <w:highlight w:val="green"/>
        </w:rPr>
      </w:pPr>
      <w:r w:rsidRPr="00F30228">
        <w:rPr>
          <w:color w:val="000000"/>
          <w:lang w:bidi="ar-SA"/>
        </w:rPr>
        <w:lastRenderedPageBreak/>
        <w:t>Hales, J. E., </w:t>
      </w:r>
      <w:r w:rsidR="00A67E5D">
        <w:rPr>
          <w:color w:val="000000"/>
          <w:lang w:bidi="ar-SA"/>
        </w:rPr>
        <w:t xml:space="preserve">1990: </w:t>
      </w:r>
      <w:r w:rsidRPr="00F30228">
        <w:rPr>
          <w:color w:val="000000"/>
          <w:shd w:val="clear" w:color="auto" w:fill="FFFFFF"/>
          <w:lang w:bidi="ar-SA"/>
        </w:rPr>
        <w:t>The crucial role of tornado watches in the issuance of warnings for significant tornadoes. </w:t>
      </w:r>
      <w:r w:rsidRPr="00F30228">
        <w:rPr>
          <w:i/>
          <w:iCs/>
          <w:color w:val="000000"/>
          <w:shd w:val="clear" w:color="auto" w:fill="FFFFFF"/>
          <w:lang w:bidi="ar-SA"/>
        </w:rPr>
        <w:t xml:space="preserve">Natl. </w:t>
      </w:r>
      <w:proofErr w:type="spellStart"/>
      <w:r w:rsidRPr="00F30228">
        <w:rPr>
          <w:i/>
          <w:iCs/>
          <w:color w:val="000000"/>
          <w:shd w:val="clear" w:color="auto" w:fill="FFFFFF"/>
          <w:lang w:bidi="ar-SA"/>
        </w:rPr>
        <w:t>Wea</w:t>
      </w:r>
      <w:proofErr w:type="spellEnd"/>
      <w:r w:rsidRPr="00F30228">
        <w:rPr>
          <w:i/>
          <w:iCs/>
          <w:color w:val="000000"/>
          <w:shd w:val="clear" w:color="auto" w:fill="FFFFFF"/>
          <w:lang w:bidi="ar-SA"/>
        </w:rPr>
        <w:t>. Dig.,</w:t>
      </w:r>
      <w:r w:rsidRPr="00F30228">
        <w:rPr>
          <w:b/>
          <w:bCs/>
          <w:color w:val="000000"/>
          <w:shd w:val="clear" w:color="auto" w:fill="FFFFFF"/>
          <w:lang w:bidi="ar-SA"/>
        </w:rPr>
        <w:t>15</w:t>
      </w:r>
      <w:r w:rsidRPr="00F30228">
        <w:rPr>
          <w:color w:val="000000"/>
          <w:shd w:val="clear" w:color="auto" w:fill="FFFFFF"/>
          <w:lang w:bidi="ar-SA"/>
        </w:rPr>
        <w:t xml:space="preserve"> (4), 30–36, </w:t>
      </w:r>
      <w:hyperlink r:id="rId14" w:history="1">
        <w:r w:rsidRPr="00CB6DBA">
          <w:rPr>
            <w:rStyle w:val="Hyperlink"/>
            <w:shd w:val="clear" w:color="auto" w:fill="FFFFFF"/>
            <w:lang w:bidi="ar-SA"/>
          </w:rPr>
          <w:t>http://citeseerx.ist.psu.edu/viewdoc/download?doi=10.1.1.666.8989&amp;rep=rep1&amp;type=pdf</w:t>
        </w:r>
      </w:hyperlink>
    </w:p>
    <w:p w14:paraId="14F3EA31" w14:textId="783A2584" w:rsidR="002B12E9" w:rsidRPr="002B12E9" w:rsidRDefault="002B12E9" w:rsidP="000504B0">
      <w:pPr>
        <w:ind w:left="720" w:hanging="720"/>
        <w:rPr>
          <w:shd w:val="clear" w:color="auto" w:fill="FFFFFF"/>
        </w:rPr>
      </w:pPr>
      <w:r w:rsidRPr="002B12E9">
        <w:rPr>
          <w:rFonts w:ascii="Times" w:eastAsiaTheme="minorHAnsi" w:hAnsi="Times" w:cs="Times"/>
          <w:color w:val="000000"/>
          <w:lang w:bidi="ar-SA"/>
        </w:rPr>
        <w:t>Hoekstra, S., K. </w:t>
      </w:r>
      <w:proofErr w:type="spellStart"/>
      <w:r w:rsidRPr="002B12E9">
        <w:rPr>
          <w:rFonts w:ascii="Times" w:eastAsiaTheme="minorHAnsi" w:hAnsi="Times" w:cs="Times"/>
          <w:color w:val="000000"/>
          <w:lang w:bidi="ar-SA"/>
        </w:rPr>
        <w:t>Klockow</w:t>
      </w:r>
      <w:proofErr w:type="spellEnd"/>
      <w:r w:rsidRPr="002B12E9">
        <w:rPr>
          <w:rFonts w:ascii="Times" w:eastAsiaTheme="minorHAnsi" w:hAnsi="Times" w:cs="Times"/>
          <w:color w:val="000000"/>
          <w:lang w:bidi="ar-SA"/>
        </w:rPr>
        <w:t>, R. Riley, J. </w:t>
      </w:r>
      <w:proofErr w:type="spellStart"/>
      <w:r w:rsidRPr="002B12E9">
        <w:rPr>
          <w:rFonts w:ascii="Times" w:eastAsiaTheme="minorHAnsi" w:hAnsi="Times" w:cs="Times"/>
          <w:color w:val="000000"/>
          <w:lang w:bidi="ar-SA"/>
        </w:rPr>
        <w:t>Brotzge</w:t>
      </w:r>
      <w:proofErr w:type="spellEnd"/>
      <w:r w:rsidRPr="002B12E9">
        <w:rPr>
          <w:rFonts w:ascii="Times" w:eastAsiaTheme="minorHAnsi" w:hAnsi="Times" w:cs="Times"/>
          <w:color w:val="000000"/>
          <w:lang w:bidi="ar-SA"/>
        </w:rPr>
        <w:t>, H. Brooks, and S. Erickson, 2011: A preliminary</w:t>
      </w:r>
      <w:r>
        <w:rPr>
          <w:rFonts w:ascii="Times" w:eastAsiaTheme="minorHAnsi" w:hAnsi="Times" w:cs="Times"/>
          <w:color w:val="000000"/>
          <w:lang w:bidi="ar-SA"/>
        </w:rPr>
        <w:t xml:space="preserve"> </w:t>
      </w:r>
      <w:r w:rsidRPr="002B12E9">
        <w:rPr>
          <w:rFonts w:ascii="Times" w:eastAsiaTheme="minorHAnsi" w:hAnsi="Times" w:cs="Times"/>
          <w:color w:val="000000"/>
          <w:lang w:bidi="ar-SA"/>
        </w:rPr>
        <w:t>look at the social perspective of warn-on-forecast: Preferred tornado warning lead time and the general public’s perceptions of weather risks. </w:t>
      </w:r>
      <w:proofErr w:type="spellStart"/>
      <w:r w:rsidRPr="002B12E9">
        <w:rPr>
          <w:rFonts w:ascii="Times" w:eastAsiaTheme="minorHAnsi" w:hAnsi="Times" w:cs="Times"/>
          <w:i/>
          <w:iCs/>
          <w:color w:val="000000"/>
          <w:lang w:bidi="ar-SA"/>
        </w:rPr>
        <w:t>Wea</w:t>
      </w:r>
      <w:proofErr w:type="spellEnd"/>
      <w:r w:rsidRPr="002B12E9">
        <w:rPr>
          <w:rFonts w:ascii="Times" w:eastAsiaTheme="minorHAnsi" w:hAnsi="Times" w:cs="Times"/>
          <w:i/>
          <w:iCs/>
          <w:color w:val="000000"/>
          <w:lang w:bidi="ar-SA"/>
        </w:rPr>
        <w:t>. Climate Soc.</w:t>
      </w:r>
      <w:r w:rsidRPr="002B12E9">
        <w:rPr>
          <w:rFonts w:ascii="Times" w:eastAsiaTheme="minorHAnsi" w:hAnsi="Times" w:cs="Times"/>
          <w:color w:val="000000"/>
          <w:lang w:bidi="ar-SA"/>
        </w:rPr>
        <w:t>, </w:t>
      </w:r>
      <w:r w:rsidRPr="002B12E9">
        <w:rPr>
          <w:rFonts w:ascii="Times" w:eastAsiaTheme="minorHAnsi" w:hAnsi="Times" w:cs="Times"/>
          <w:b/>
          <w:bCs/>
          <w:color w:val="000000"/>
          <w:lang w:bidi="ar-SA"/>
        </w:rPr>
        <w:t>3</w:t>
      </w:r>
      <w:r w:rsidRPr="002B12E9">
        <w:rPr>
          <w:rFonts w:ascii="Times" w:eastAsiaTheme="minorHAnsi" w:hAnsi="Times" w:cs="Times"/>
          <w:color w:val="000000"/>
          <w:lang w:bidi="ar-SA"/>
        </w:rPr>
        <w:t>, 128–140, </w:t>
      </w:r>
      <w:hyperlink r:id="rId15" w:history="1">
        <w:r w:rsidRPr="002B12E9">
          <w:rPr>
            <w:rFonts w:ascii="Times" w:eastAsiaTheme="minorHAnsi" w:hAnsi="Times" w:cs="Times"/>
            <w:color w:val="6B0001"/>
            <w:u w:val="single" w:color="6B0001"/>
            <w:lang w:bidi="ar-SA"/>
          </w:rPr>
          <w:t>https://doi.org/10.1175/2011WCAS1076.1</w:t>
        </w:r>
      </w:hyperlink>
      <w:r w:rsidRPr="002B12E9">
        <w:rPr>
          <w:rFonts w:ascii="Times" w:eastAsiaTheme="minorHAnsi" w:hAnsi="Times" w:cs="Times"/>
          <w:color w:val="000000"/>
          <w:lang w:bidi="ar-SA"/>
        </w:rPr>
        <w:t>. </w:t>
      </w:r>
    </w:p>
    <w:p w14:paraId="7CD81335" w14:textId="2C31FE42" w:rsidR="000504B0" w:rsidRDefault="006A0097" w:rsidP="000504B0">
      <w:pPr>
        <w:ind w:left="720" w:hanging="720"/>
        <w:rPr>
          <w:shd w:val="clear" w:color="auto" w:fill="FFFFFF"/>
        </w:rPr>
      </w:pPr>
      <w:proofErr w:type="spellStart"/>
      <w:r w:rsidRPr="00665C7C">
        <w:rPr>
          <w:shd w:val="clear" w:color="auto" w:fill="FFFFFF"/>
        </w:rPr>
        <w:t>Jauernic</w:t>
      </w:r>
      <w:proofErr w:type="spellEnd"/>
      <w:r w:rsidRPr="00665C7C">
        <w:rPr>
          <w:shd w:val="clear" w:color="auto" w:fill="FFFFFF"/>
        </w:rPr>
        <w:t xml:space="preserve">, S.T. and Van Den </w:t>
      </w:r>
      <w:proofErr w:type="spellStart"/>
      <w:r w:rsidRPr="00665C7C">
        <w:rPr>
          <w:shd w:val="clear" w:color="auto" w:fill="FFFFFF"/>
        </w:rPr>
        <w:t>Broeke</w:t>
      </w:r>
      <w:proofErr w:type="spellEnd"/>
      <w:r w:rsidRPr="00665C7C">
        <w:rPr>
          <w:shd w:val="clear" w:color="auto" w:fill="FFFFFF"/>
        </w:rPr>
        <w:t>, M.S., 2016: Perceptions of tornadoes, tornado risk, and tornado safety actions and their effects on warning response among Nebraska undergraduates. </w:t>
      </w:r>
      <w:r w:rsidRPr="00665C7C">
        <w:rPr>
          <w:i/>
          <w:shd w:val="clear" w:color="auto" w:fill="FFFFFF"/>
        </w:rPr>
        <w:t>Nat. Hazards</w:t>
      </w:r>
      <w:r w:rsidRPr="00665C7C">
        <w:rPr>
          <w:shd w:val="clear" w:color="auto" w:fill="FFFFFF"/>
        </w:rPr>
        <w:t>, </w:t>
      </w:r>
      <w:r w:rsidRPr="00665C7C">
        <w:rPr>
          <w:b/>
          <w:shd w:val="clear" w:color="auto" w:fill="FFFFFF"/>
        </w:rPr>
        <w:t>80</w:t>
      </w:r>
      <w:r w:rsidRPr="00665C7C">
        <w:rPr>
          <w:shd w:val="clear" w:color="auto" w:fill="FFFFFF"/>
        </w:rPr>
        <w:t>, 329-350.</w:t>
      </w:r>
    </w:p>
    <w:p w14:paraId="72E54935" w14:textId="13931FD2" w:rsidR="00250235" w:rsidRPr="00665C7C" w:rsidRDefault="00250235" w:rsidP="000504B0">
      <w:pPr>
        <w:ind w:left="720" w:hanging="720"/>
        <w:rPr>
          <w:shd w:val="clear" w:color="auto" w:fill="FFFFFF"/>
        </w:rPr>
      </w:pPr>
      <w:r w:rsidRPr="00250235">
        <w:rPr>
          <w:shd w:val="clear" w:color="auto" w:fill="FFFFFF"/>
        </w:rPr>
        <w:t>Kang</w:t>
      </w:r>
      <w:r>
        <w:rPr>
          <w:shd w:val="clear" w:color="auto" w:fill="FFFFFF"/>
        </w:rPr>
        <w:t>,</w:t>
      </w:r>
      <w:r w:rsidRPr="00250235">
        <w:rPr>
          <w:shd w:val="clear" w:color="auto" w:fill="FFFFFF"/>
        </w:rPr>
        <w:t xml:space="preserve"> J</w:t>
      </w:r>
      <w:r>
        <w:rPr>
          <w:shd w:val="clear" w:color="auto" w:fill="FFFFFF"/>
        </w:rPr>
        <w:t>.</w:t>
      </w:r>
      <w:r w:rsidRPr="00250235">
        <w:rPr>
          <w:shd w:val="clear" w:color="auto" w:fill="FFFFFF"/>
        </w:rPr>
        <w:t>,</w:t>
      </w:r>
      <w:r>
        <w:rPr>
          <w:shd w:val="clear" w:color="auto" w:fill="FFFFFF"/>
        </w:rPr>
        <w:t xml:space="preserve"> M.</w:t>
      </w:r>
      <w:r w:rsidRPr="00250235">
        <w:rPr>
          <w:shd w:val="clear" w:color="auto" w:fill="FFFFFF"/>
        </w:rPr>
        <w:t xml:space="preserve"> Lindell</w:t>
      </w:r>
      <w:r>
        <w:rPr>
          <w:shd w:val="clear" w:color="auto" w:fill="FFFFFF"/>
        </w:rPr>
        <w:t xml:space="preserve">, and C. </w:t>
      </w:r>
      <w:r w:rsidRPr="00250235">
        <w:rPr>
          <w:shd w:val="clear" w:color="auto" w:fill="FFFFFF"/>
        </w:rPr>
        <w:t>Prater</w:t>
      </w:r>
      <w:r>
        <w:rPr>
          <w:shd w:val="clear" w:color="auto" w:fill="FFFFFF"/>
        </w:rPr>
        <w:t xml:space="preserve">, 2007: </w:t>
      </w:r>
      <w:r w:rsidRPr="00250235">
        <w:rPr>
          <w:shd w:val="clear" w:color="auto" w:fill="FFFFFF"/>
        </w:rPr>
        <w:t xml:space="preserve">Hurricane evacuation expectations and actual behavior in Hurricane Lili. </w:t>
      </w:r>
      <w:r w:rsidRPr="00250235">
        <w:rPr>
          <w:i/>
          <w:shd w:val="clear" w:color="auto" w:fill="FFFFFF"/>
        </w:rPr>
        <w:t>J. App. Social Psychology</w:t>
      </w:r>
      <w:r w:rsidRPr="00250235">
        <w:rPr>
          <w:shd w:val="clear" w:color="auto" w:fill="FFFFFF"/>
        </w:rPr>
        <w:t xml:space="preserve">, </w:t>
      </w:r>
      <w:r w:rsidRPr="00250235">
        <w:rPr>
          <w:b/>
          <w:shd w:val="clear" w:color="auto" w:fill="FFFFFF"/>
        </w:rPr>
        <w:t>37</w:t>
      </w:r>
      <w:r>
        <w:rPr>
          <w:shd w:val="clear" w:color="auto" w:fill="FFFFFF"/>
        </w:rPr>
        <w:t xml:space="preserve">, </w:t>
      </w:r>
      <w:r w:rsidRPr="00250235">
        <w:rPr>
          <w:shd w:val="clear" w:color="auto" w:fill="FFFFFF"/>
        </w:rPr>
        <w:t>4</w:t>
      </w:r>
      <w:r>
        <w:rPr>
          <w:shd w:val="clear" w:color="auto" w:fill="FFFFFF"/>
        </w:rPr>
        <w:t xml:space="preserve">, </w:t>
      </w:r>
      <w:r w:rsidRPr="00250235">
        <w:rPr>
          <w:shd w:val="clear" w:color="auto" w:fill="FFFFFF"/>
        </w:rPr>
        <w:t>887–903.</w:t>
      </w:r>
    </w:p>
    <w:p w14:paraId="5ADEE75A" w14:textId="2EFB617F" w:rsidR="001C55E1" w:rsidRPr="00E0474A" w:rsidRDefault="001C55E1" w:rsidP="000504B0">
      <w:pPr>
        <w:ind w:left="720" w:hanging="720"/>
        <w:rPr>
          <w:shd w:val="clear" w:color="auto" w:fill="FFFFFF"/>
        </w:rPr>
      </w:pPr>
      <w:proofErr w:type="spellStart"/>
      <w:r w:rsidRPr="001C55E1">
        <w:rPr>
          <w:rFonts w:ascii="Times" w:hAnsi="Times"/>
          <w:color w:val="000000" w:themeColor="text1"/>
        </w:rPr>
        <w:t>Krocak</w:t>
      </w:r>
      <w:proofErr w:type="spellEnd"/>
      <w:r w:rsidRPr="001C55E1">
        <w:rPr>
          <w:rFonts w:ascii="Times" w:hAnsi="Times"/>
          <w:color w:val="000000" w:themeColor="text1"/>
        </w:rPr>
        <w:t xml:space="preserve">, M. J., and H. E. Brooks, 2017: Towards Consistency in Forecasting Severe Weather Events across a Wide Range of Temporal and Spatial Scales in the FACETs Paradigm. </w:t>
      </w:r>
      <w:r w:rsidRPr="00E0474A">
        <w:rPr>
          <w:rFonts w:ascii="Times" w:hAnsi="Times"/>
          <w:color w:val="000000" w:themeColor="text1"/>
        </w:rPr>
        <w:t xml:space="preserve">Seventh Conf. on Transition of Research to Operations, Seattle, WA, Amer. Meteor. Soc., </w:t>
      </w:r>
      <w:hyperlink r:id="rId16" w:history="1">
        <w:r w:rsidRPr="00E0474A">
          <w:rPr>
            <w:rStyle w:val="Hyperlink"/>
            <w:rFonts w:ascii="Times" w:hAnsi="Times"/>
          </w:rPr>
          <w:t>https://ams.confex.com/ams/97Annual/webprogram/Paper308117.html</w:t>
        </w:r>
      </w:hyperlink>
      <w:r w:rsidRPr="00E0474A">
        <w:rPr>
          <w:rFonts w:ascii="Times" w:hAnsi="Times"/>
          <w:color w:val="000000" w:themeColor="text1"/>
        </w:rPr>
        <w:t xml:space="preserve">. </w:t>
      </w:r>
    </w:p>
    <w:p w14:paraId="4FC14082" w14:textId="7F3E1A78" w:rsidR="00F721E9" w:rsidRDefault="00F721E9" w:rsidP="00F721E9">
      <w:pPr>
        <w:ind w:left="720" w:hanging="720"/>
        <w:rPr>
          <w:rStyle w:val="Hyperlink"/>
          <w:spacing w:val="2"/>
        </w:rPr>
      </w:pPr>
      <w:r w:rsidRPr="00E0474A">
        <w:rPr>
          <w:color w:val="333333"/>
          <w:spacing w:val="2"/>
        </w:rPr>
        <w:t xml:space="preserve">Lindell, M.K., S.K. Huang, H.L. Wei, and C.D. Samuelson, 2016: </w:t>
      </w:r>
      <w:hyperlink r:id="rId17" w:history="1">
        <w:r w:rsidRPr="00E0474A">
          <w:rPr>
            <w:rStyle w:val="Hyperlink"/>
            <w:spacing w:val="2"/>
          </w:rPr>
          <w:t xml:space="preserve">Perceptions and expected immediate reactions to </w:t>
        </w:r>
        <w:r w:rsidRPr="00E0474A">
          <w:rPr>
            <w:rStyle w:val="Hyperlink"/>
            <w:b/>
            <w:bCs/>
            <w:spacing w:val="2"/>
          </w:rPr>
          <w:t xml:space="preserve">tornado </w:t>
        </w:r>
        <w:r w:rsidRPr="00E0474A">
          <w:rPr>
            <w:rStyle w:val="Hyperlink"/>
            <w:spacing w:val="2"/>
          </w:rPr>
          <w:t>warning polygons</w:t>
        </w:r>
      </w:hyperlink>
      <w:r w:rsidRPr="00E0474A">
        <w:rPr>
          <w:color w:val="333333"/>
          <w:spacing w:val="2"/>
        </w:rPr>
        <w:t xml:space="preserve">. </w:t>
      </w:r>
      <w:r w:rsidRPr="00E0474A">
        <w:rPr>
          <w:i/>
          <w:color w:val="333333"/>
          <w:spacing w:val="2"/>
        </w:rPr>
        <w:t>Nat. Hazards</w:t>
      </w:r>
      <w:r w:rsidRPr="00E0474A">
        <w:rPr>
          <w:color w:val="333333"/>
          <w:spacing w:val="2"/>
        </w:rPr>
        <w:t xml:space="preserve"> </w:t>
      </w:r>
      <w:r w:rsidRPr="00E0474A">
        <w:rPr>
          <w:b/>
          <w:color w:val="333333"/>
          <w:spacing w:val="2"/>
        </w:rPr>
        <w:t>80</w:t>
      </w:r>
      <w:r w:rsidRPr="00E0474A">
        <w:rPr>
          <w:color w:val="333333"/>
          <w:spacing w:val="2"/>
        </w:rPr>
        <w:t xml:space="preserve">, 683-707. </w:t>
      </w:r>
      <w:hyperlink r:id="rId18" w:history="1">
        <w:r w:rsidRPr="00E0474A">
          <w:rPr>
            <w:rStyle w:val="Hyperlink"/>
            <w:spacing w:val="2"/>
          </w:rPr>
          <w:t>https://doi.org/10.1007/s11069-015-1990-5</w:t>
        </w:r>
      </w:hyperlink>
    </w:p>
    <w:p w14:paraId="63901BBB" w14:textId="40DD2C6E" w:rsidR="00900461" w:rsidRPr="00900461" w:rsidRDefault="00900461" w:rsidP="00900461">
      <w:pPr>
        <w:ind w:left="720" w:hanging="720"/>
        <w:rPr>
          <w:color w:val="333333"/>
          <w:spacing w:val="2"/>
        </w:rPr>
      </w:pPr>
      <w:r>
        <w:rPr>
          <w:color w:val="333333"/>
          <w:spacing w:val="2"/>
        </w:rPr>
        <w:t xml:space="preserve">Ling, C. H. </w:t>
      </w:r>
      <w:proofErr w:type="spellStart"/>
      <w:r>
        <w:rPr>
          <w:color w:val="333333"/>
          <w:spacing w:val="2"/>
        </w:rPr>
        <w:t>Lesheng</w:t>
      </w:r>
      <w:proofErr w:type="spellEnd"/>
      <w:r>
        <w:rPr>
          <w:color w:val="333333"/>
          <w:spacing w:val="2"/>
        </w:rPr>
        <w:t xml:space="preserve">, C. D. </w:t>
      </w:r>
      <w:proofErr w:type="spellStart"/>
      <w:r>
        <w:rPr>
          <w:color w:val="333333"/>
          <w:spacing w:val="2"/>
        </w:rPr>
        <w:t>Karstens</w:t>
      </w:r>
      <w:proofErr w:type="spellEnd"/>
      <w:r>
        <w:rPr>
          <w:color w:val="333333"/>
          <w:spacing w:val="2"/>
        </w:rPr>
        <w:t xml:space="preserve">, G. J. Stumpf, T. M. Smith, K. M. Kuhlman, L. </w:t>
      </w:r>
      <w:proofErr w:type="spellStart"/>
      <w:r>
        <w:rPr>
          <w:color w:val="333333"/>
          <w:spacing w:val="2"/>
        </w:rPr>
        <w:t>Rothfusz</w:t>
      </w:r>
      <w:proofErr w:type="spellEnd"/>
      <w:r>
        <w:rPr>
          <w:color w:val="333333"/>
          <w:spacing w:val="2"/>
        </w:rPr>
        <w:t xml:space="preserve">, 2015: </w:t>
      </w:r>
      <w:r w:rsidRPr="00900461">
        <w:rPr>
          <w:color w:val="333333"/>
          <w:spacing w:val="2"/>
        </w:rPr>
        <w:t xml:space="preserve">A Comparison Between </w:t>
      </w:r>
      <w:proofErr w:type="spellStart"/>
      <w:r w:rsidRPr="00900461">
        <w:rPr>
          <w:color w:val="333333"/>
          <w:spacing w:val="2"/>
        </w:rPr>
        <w:t>WarnGen</w:t>
      </w:r>
      <w:proofErr w:type="spellEnd"/>
      <w:r w:rsidRPr="00900461">
        <w:rPr>
          <w:color w:val="333333"/>
          <w:spacing w:val="2"/>
        </w:rPr>
        <w:t xml:space="preserve"> System and Probabilistic Hazard Information System</w:t>
      </w:r>
      <w:r w:rsidRPr="00900461">
        <w:rPr>
          <w:i/>
          <w:color w:val="333333"/>
          <w:spacing w:val="2"/>
        </w:rPr>
        <w:t>, Proceedings of the Human Factors and Ergonomics Society 59th Annual Meeting</w:t>
      </w:r>
      <w:r>
        <w:rPr>
          <w:color w:val="333333"/>
          <w:spacing w:val="2"/>
        </w:rPr>
        <w:t xml:space="preserve">, </w:t>
      </w:r>
      <w:hyperlink r:id="rId19" w:history="1">
        <w:r w:rsidRPr="00493235">
          <w:rPr>
            <w:rStyle w:val="Hyperlink"/>
            <w:spacing w:val="2"/>
          </w:rPr>
          <w:t>https://doi.org/10.1177/1541931215591387</w:t>
        </w:r>
      </w:hyperlink>
      <w:r>
        <w:rPr>
          <w:color w:val="333333"/>
          <w:spacing w:val="2"/>
        </w:rPr>
        <w:t xml:space="preserve">. </w:t>
      </w:r>
    </w:p>
    <w:p w14:paraId="0C8A6CE6" w14:textId="2A84B6B7" w:rsidR="00900461" w:rsidRPr="00E0474A" w:rsidRDefault="00900461" w:rsidP="00900461">
      <w:pPr>
        <w:ind w:left="720" w:hanging="720"/>
        <w:rPr>
          <w:color w:val="333333"/>
          <w:spacing w:val="2"/>
        </w:rPr>
      </w:pPr>
      <w:r w:rsidRPr="00900461">
        <w:rPr>
          <w:color w:val="333333"/>
          <w:spacing w:val="2"/>
        </w:rPr>
        <w:lastRenderedPageBreak/>
        <w:t>for Severe Weather Forecasting</w:t>
      </w:r>
    </w:p>
    <w:p w14:paraId="4F24A2D7" w14:textId="1C8FB28B" w:rsidR="000504B0" w:rsidRPr="000504B0" w:rsidRDefault="000504B0" w:rsidP="000504B0">
      <w:pPr>
        <w:ind w:left="720" w:hanging="720"/>
        <w:rPr>
          <w:color w:val="222222"/>
        </w:rPr>
      </w:pPr>
      <w:proofErr w:type="spellStart"/>
      <w:r w:rsidRPr="00E0474A">
        <w:rPr>
          <w:color w:val="222222"/>
        </w:rPr>
        <w:t>Miran</w:t>
      </w:r>
      <w:proofErr w:type="spellEnd"/>
      <w:r w:rsidRPr="00E0474A">
        <w:rPr>
          <w:color w:val="222222"/>
        </w:rPr>
        <w:t xml:space="preserve">, S.M., C. Ling, and L. </w:t>
      </w:r>
      <w:proofErr w:type="spellStart"/>
      <w:r w:rsidRPr="00E0474A">
        <w:rPr>
          <w:color w:val="222222"/>
        </w:rPr>
        <w:t>Rothfusz</w:t>
      </w:r>
      <w:proofErr w:type="spellEnd"/>
      <w:r w:rsidRPr="00E0474A">
        <w:rPr>
          <w:color w:val="222222"/>
        </w:rPr>
        <w:t xml:space="preserve">, 2018: Factors influencing people's decision-making during three consecutive tornado events. </w:t>
      </w:r>
      <w:r w:rsidRPr="00E0474A">
        <w:rPr>
          <w:i/>
          <w:iCs/>
          <w:color w:val="222222"/>
        </w:rPr>
        <w:t>International journal of disaster risk reduction</w:t>
      </w:r>
      <w:r w:rsidRPr="00E0474A">
        <w:rPr>
          <w:color w:val="222222"/>
        </w:rPr>
        <w:t xml:space="preserve">, </w:t>
      </w:r>
      <w:r w:rsidRPr="00E0474A">
        <w:rPr>
          <w:b/>
          <w:i/>
          <w:iCs/>
          <w:color w:val="222222"/>
        </w:rPr>
        <w:t>28</w:t>
      </w:r>
      <w:r w:rsidRPr="00E0474A">
        <w:rPr>
          <w:color w:val="222222"/>
        </w:rPr>
        <w:t>, 150-157.</w:t>
      </w:r>
    </w:p>
    <w:p w14:paraId="48FDF25A" w14:textId="51986FB2" w:rsidR="006A0097" w:rsidRPr="00332B43" w:rsidRDefault="006A0097" w:rsidP="006A0097">
      <w:pPr>
        <w:ind w:left="720" w:hanging="720"/>
      </w:pPr>
      <w:r w:rsidRPr="00332B43">
        <w:rPr>
          <w:rFonts w:eastAsiaTheme="minorHAnsi"/>
        </w:rPr>
        <w:t>National Academies of Sciences, Engineering, and Medicine</w:t>
      </w:r>
      <w:r w:rsidR="00160223">
        <w:rPr>
          <w:rFonts w:eastAsiaTheme="minorHAnsi"/>
        </w:rPr>
        <w:t xml:space="preserve"> (NAS)</w:t>
      </w:r>
      <w:r w:rsidRPr="00332B43">
        <w:rPr>
          <w:rFonts w:eastAsiaTheme="minorHAnsi"/>
        </w:rPr>
        <w:t>, 2018: Integrating Social and Behavioral Sciences within the Weather Enterprise. The National Academies Press, 198 pp., </w:t>
      </w:r>
      <w:hyperlink r:id="rId20" w:tgtFrame="_blank" w:history="1">
        <w:r w:rsidRPr="00332B43">
          <w:rPr>
            <w:rFonts w:eastAsiaTheme="minorHAnsi"/>
          </w:rPr>
          <w:t>https://doi.org/10.17226/24865</w:t>
        </w:r>
      </w:hyperlink>
      <w:r w:rsidRPr="00332B43">
        <w:rPr>
          <w:rFonts w:eastAsiaTheme="minorHAnsi"/>
        </w:rPr>
        <w:t>.</w:t>
      </w:r>
      <w:r w:rsidRPr="00332B43">
        <w:t xml:space="preserve"> </w:t>
      </w:r>
    </w:p>
    <w:p w14:paraId="0277983F" w14:textId="77777777" w:rsidR="006A0097" w:rsidRPr="00332B43" w:rsidRDefault="006A0097" w:rsidP="006A0097">
      <w:pPr>
        <w:ind w:left="720" w:hanging="720"/>
        <w:rPr>
          <w:shd w:val="clear" w:color="auto" w:fill="FFFFFF"/>
        </w:rPr>
      </w:pPr>
      <w:r w:rsidRPr="00332B43">
        <w:rPr>
          <w:shd w:val="clear" w:color="auto" w:fill="FFFFFF"/>
        </w:rPr>
        <w:t>NOAA, 2015:</w:t>
      </w:r>
      <w:r w:rsidRPr="00332B43">
        <w:t xml:space="preserve"> </w:t>
      </w:r>
      <w:r w:rsidRPr="00332B43">
        <w:rPr>
          <w:shd w:val="clear" w:color="auto" w:fill="FFFFFF"/>
        </w:rPr>
        <w:t xml:space="preserve">Vision and Strategy: Supporting NOAA’s Mission with Social Science. NOAA Tech. Rep., 19 pp., </w:t>
      </w:r>
      <w:hyperlink r:id="rId21" w:history="1">
        <w:r w:rsidRPr="00332B43">
          <w:rPr>
            <w:rStyle w:val="Hyperlink"/>
            <w:shd w:val="clear" w:color="auto" w:fill="FFFFFF"/>
          </w:rPr>
          <w:t>https://www.performance.noaa.gov/wp-content/uploads/SSVS_Final_073115.pdf</w:t>
        </w:r>
      </w:hyperlink>
      <w:r w:rsidRPr="00332B43">
        <w:rPr>
          <w:shd w:val="clear" w:color="auto" w:fill="FFFFFF"/>
        </w:rPr>
        <w:t>.</w:t>
      </w:r>
    </w:p>
    <w:p w14:paraId="2D3EF314" w14:textId="29E10986" w:rsidR="00005C4B" w:rsidRDefault="00005C4B" w:rsidP="00005C4B">
      <w:pPr>
        <w:ind w:left="720" w:hanging="720"/>
        <w:rPr>
          <w:lang w:bidi="ar-SA"/>
        </w:rPr>
      </w:pPr>
      <w:r>
        <w:rPr>
          <w:color w:val="000000"/>
        </w:rPr>
        <w:t xml:space="preserve">NWS, 2019: National Weather Service mission statement. Accessed April 29, 2019, </w:t>
      </w:r>
      <w:hyperlink r:id="rId22" w:history="1">
        <w:r>
          <w:rPr>
            <w:rStyle w:val="Hyperlink"/>
            <w:color w:val="1155CC"/>
          </w:rPr>
          <w:t>https://www.nws.noaa.gov/mission.php</w:t>
        </w:r>
      </w:hyperlink>
    </w:p>
    <w:p w14:paraId="6947D08B" w14:textId="364A5313" w:rsidR="006A0097" w:rsidRPr="006A0097" w:rsidRDefault="006A0097" w:rsidP="006A0097">
      <w:pPr>
        <w:ind w:left="720" w:hanging="720"/>
        <w:rPr>
          <w:color w:val="800000"/>
          <w:u w:val="single"/>
        </w:rPr>
      </w:pPr>
      <w:r w:rsidRPr="00414ABB">
        <w:rPr>
          <w:rStyle w:val="artauthors"/>
          <w:color w:val="000000"/>
        </w:rPr>
        <w:t>Ripberger, J.T., C.L. Silva, H.C. Jenkins-Smith, and M. James</w:t>
      </w:r>
      <w:r w:rsidRPr="00414ABB">
        <w:rPr>
          <w:color w:val="000000"/>
        </w:rPr>
        <w:t xml:space="preserve">, </w:t>
      </w:r>
      <w:r w:rsidRPr="00414ABB">
        <w:rPr>
          <w:rStyle w:val="year"/>
          <w:color w:val="000000"/>
        </w:rPr>
        <w:t>2015</w:t>
      </w:r>
      <w:r w:rsidRPr="00414ABB">
        <w:rPr>
          <w:color w:val="000000"/>
        </w:rPr>
        <w:t xml:space="preserve">: </w:t>
      </w:r>
      <w:r w:rsidRPr="00414ABB">
        <w:rPr>
          <w:rStyle w:val="Hyperlink"/>
          <w:color w:val="000000" w:themeColor="text1"/>
        </w:rPr>
        <w:t>The Influence of Consequence-Based Messages on Public Responses to Tornado Warnings.</w:t>
      </w:r>
      <w:r w:rsidRPr="00414ABB">
        <w:rPr>
          <w:color w:val="000000" w:themeColor="text1"/>
        </w:rPr>
        <w:t xml:space="preserve"> </w:t>
      </w:r>
      <w:r w:rsidRPr="00414ABB">
        <w:rPr>
          <w:rStyle w:val="journalname"/>
          <w:i/>
          <w:iCs/>
          <w:color w:val="000000"/>
        </w:rPr>
        <w:t>Bull. Amer. Meteor. Soc.,</w:t>
      </w:r>
      <w:r w:rsidRPr="00414ABB">
        <w:rPr>
          <w:color w:val="000000"/>
        </w:rPr>
        <w:t xml:space="preserve"> </w:t>
      </w:r>
      <w:r w:rsidRPr="00414ABB">
        <w:rPr>
          <w:rStyle w:val="volume"/>
          <w:b/>
          <w:bCs/>
          <w:color w:val="000000"/>
        </w:rPr>
        <w:t>96</w:t>
      </w:r>
      <w:r w:rsidRPr="00414ABB">
        <w:rPr>
          <w:color w:val="000000"/>
        </w:rPr>
        <w:t xml:space="preserve">, </w:t>
      </w:r>
      <w:r w:rsidRPr="00414ABB">
        <w:rPr>
          <w:rStyle w:val="page"/>
          <w:rFonts w:eastAsia="Cambria"/>
          <w:color w:val="000000"/>
        </w:rPr>
        <w:t xml:space="preserve">577–590, </w:t>
      </w:r>
      <w:hyperlink r:id="rId23" w:history="1">
        <w:r w:rsidRPr="00414ABB">
          <w:rPr>
            <w:rStyle w:val="Hyperlink"/>
            <w:color w:val="800000"/>
          </w:rPr>
          <w:t>https://doi.org/10.1175/BAMS-D-13-00213.1</w:t>
        </w:r>
      </w:hyperlink>
    </w:p>
    <w:p w14:paraId="2832028C" w14:textId="35626A71" w:rsidR="007B1F9D" w:rsidRDefault="007B1F9D" w:rsidP="007B43FD">
      <w:pPr>
        <w:ind w:left="720" w:hanging="720"/>
        <w:contextualSpacing/>
      </w:pPr>
      <w:proofErr w:type="spellStart"/>
      <w:r w:rsidRPr="00D15BD2">
        <w:t>Rothfusz</w:t>
      </w:r>
      <w:proofErr w:type="spellEnd"/>
      <w:r w:rsidRPr="00D15BD2">
        <w:t xml:space="preserve">, L. P., R. Schneider, D. Novak, K. </w:t>
      </w:r>
      <w:proofErr w:type="spellStart"/>
      <w:r w:rsidRPr="00D15BD2">
        <w:t>Klockow</w:t>
      </w:r>
      <w:proofErr w:type="spellEnd"/>
      <w:r w:rsidRPr="00D15BD2">
        <w:t xml:space="preserve">, A. E. Gerard, C. </w:t>
      </w:r>
      <w:proofErr w:type="spellStart"/>
      <w:r w:rsidRPr="00D15BD2">
        <w:t>Karstens</w:t>
      </w:r>
      <w:proofErr w:type="spellEnd"/>
      <w:r w:rsidRPr="00D15BD2">
        <w:t>, G. J. Stumpf, and T. M. Smith, 2018: FACETs: A proposed next-generation paradigm for high-impact weather forecasting. Bull</w:t>
      </w:r>
      <w:r w:rsidRPr="007B1F9D">
        <w:t xml:space="preserve">. Amer. Meteor. Soc., 99, 2025-2043, </w:t>
      </w:r>
      <w:hyperlink r:id="rId24" w:history="1">
        <w:r w:rsidRPr="0062448D">
          <w:rPr>
            <w:rStyle w:val="Hyperlink"/>
          </w:rPr>
          <w:t>https://doi.org/10.1175/BAMS-D-16-0100.1</w:t>
        </w:r>
      </w:hyperlink>
      <w:r w:rsidRPr="007B1F9D">
        <w:t>.</w:t>
      </w:r>
    </w:p>
    <w:p w14:paraId="1B9A3CCE" w14:textId="1E8D970F" w:rsidR="006A0097" w:rsidRPr="006A0097" w:rsidRDefault="006A0097" w:rsidP="006A0097">
      <w:pPr>
        <w:ind w:left="720" w:hanging="720"/>
        <w:rPr>
          <w:color w:val="000000"/>
        </w:rPr>
      </w:pPr>
      <w:r w:rsidRPr="00E0474A">
        <w:rPr>
          <w:rStyle w:val="artauthors"/>
          <w:color w:val="000000"/>
        </w:rPr>
        <w:t xml:space="preserve">Schultz, D.M., E.C. </w:t>
      </w:r>
      <w:proofErr w:type="spellStart"/>
      <w:r w:rsidRPr="00E0474A">
        <w:rPr>
          <w:rStyle w:val="artauthors"/>
          <w:color w:val="000000"/>
        </w:rPr>
        <w:t>Gruntfest</w:t>
      </w:r>
      <w:proofErr w:type="spellEnd"/>
      <w:r w:rsidRPr="00E0474A">
        <w:rPr>
          <w:rStyle w:val="artauthors"/>
          <w:color w:val="000000"/>
        </w:rPr>
        <w:t xml:space="preserve">, M.H. Hayden, C.C. </w:t>
      </w:r>
      <w:proofErr w:type="spellStart"/>
      <w:r w:rsidRPr="00E0474A">
        <w:rPr>
          <w:rStyle w:val="artauthors"/>
          <w:color w:val="000000"/>
        </w:rPr>
        <w:t>Benight</w:t>
      </w:r>
      <w:proofErr w:type="spellEnd"/>
      <w:r w:rsidRPr="00E0474A">
        <w:rPr>
          <w:rStyle w:val="artauthors"/>
          <w:color w:val="000000"/>
        </w:rPr>
        <w:t xml:space="preserve">, S. </w:t>
      </w:r>
      <w:proofErr w:type="spellStart"/>
      <w:r w:rsidRPr="00E0474A">
        <w:rPr>
          <w:rStyle w:val="artauthors"/>
          <w:color w:val="000000"/>
        </w:rPr>
        <w:t>Drobot</w:t>
      </w:r>
      <w:proofErr w:type="spellEnd"/>
      <w:r w:rsidRPr="00E0474A">
        <w:rPr>
          <w:rStyle w:val="artauthors"/>
          <w:color w:val="000000"/>
        </w:rPr>
        <w:t>, and L.R. Barnes</w:t>
      </w:r>
      <w:r w:rsidRPr="00E0474A">
        <w:rPr>
          <w:color w:val="000000"/>
        </w:rPr>
        <w:t xml:space="preserve">, </w:t>
      </w:r>
      <w:r w:rsidRPr="00E0474A">
        <w:rPr>
          <w:rStyle w:val="year"/>
          <w:color w:val="000000"/>
        </w:rPr>
        <w:t>2010</w:t>
      </w:r>
      <w:r w:rsidRPr="00E0474A">
        <w:rPr>
          <w:color w:val="000000"/>
        </w:rPr>
        <w:t xml:space="preserve">: </w:t>
      </w:r>
      <w:r w:rsidRPr="00E0474A">
        <w:rPr>
          <w:rStyle w:val="Hyperlink"/>
          <w:color w:val="000000" w:themeColor="text1"/>
          <w:u w:val="none"/>
        </w:rPr>
        <w:t>Decision Making by Austin, Texas, Residents in Hypothetical Tornado Scenarios.</w:t>
      </w:r>
      <w:r w:rsidRPr="00E0474A">
        <w:rPr>
          <w:color w:val="000000" w:themeColor="text1"/>
        </w:rPr>
        <w:t xml:space="preserve"> </w:t>
      </w:r>
      <w:proofErr w:type="spellStart"/>
      <w:r w:rsidRPr="00E0474A">
        <w:rPr>
          <w:rStyle w:val="journalname"/>
          <w:i/>
          <w:iCs/>
          <w:color w:val="000000" w:themeColor="text1"/>
        </w:rPr>
        <w:t>Wea</w:t>
      </w:r>
      <w:proofErr w:type="spellEnd"/>
      <w:r w:rsidRPr="00E0474A">
        <w:rPr>
          <w:rStyle w:val="journalname"/>
          <w:i/>
          <w:iCs/>
          <w:color w:val="000000"/>
        </w:rPr>
        <w:t>. Climate Soc.,</w:t>
      </w:r>
      <w:r w:rsidRPr="00E0474A">
        <w:rPr>
          <w:color w:val="000000"/>
        </w:rPr>
        <w:t xml:space="preserve"> </w:t>
      </w:r>
      <w:r w:rsidRPr="00E0474A">
        <w:rPr>
          <w:rStyle w:val="volume"/>
          <w:b/>
          <w:bCs/>
          <w:color w:val="000000"/>
        </w:rPr>
        <w:t>2</w:t>
      </w:r>
      <w:r w:rsidRPr="00E0474A">
        <w:rPr>
          <w:color w:val="000000"/>
        </w:rPr>
        <w:t xml:space="preserve">, </w:t>
      </w:r>
      <w:r w:rsidRPr="00E0474A">
        <w:rPr>
          <w:rStyle w:val="page"/>
          <w:rFonts w:eastAsia="Cambria"/>
          <w:color w:val="000000"/>
        </w:rPr>
        <w:t xml:space="preserve">249–254, </w:t>
      </w:r>
      <w:hyperlink r:id="rId25" w:history="1">
        <w:r w:rsidRPr="00E0474A">
          <w:rPr>
            <w:rStyle w:val="Hyperlink"/>
            <w:color w:val="800000"/>
          </w:rPr>
          <w:t>https://doi.org/10.1175/2010WCAS1067.1</w:t>
        </w:r>
      </w:hyperlink>
    </w:p>
    <w:p w14:paraId="149CE24E" w14:textId="77777777" w:rsidR="007B1F9D" w:rsidRDefault="007B1F9D" w:rsidP="007B1F9D">
      <w:pPr>
        <w:ind w:left="720" w:hanging="720"/>
        <w:contextualSpacing/>
      </w:pPr>
      <w:r>
        <w:lastRenderedPageBreak/>
        <w:t xml:space="preserve">Silva, C. L., Ripberger, J. T., Jenkins-Smith, H. C., </w:t>
      </w:r>
      <w:proofErr w:type="spellStart"/>
      <w:r>
        <w:t>Krocak</w:t>
      </w:r>
      <w:proofErr w:type="spellEnd"/>
      <w:r>
        <w:t xml:space="preserve">, M, 2017: Establishing a Baseline: Public Reception, Understanding, and Responses to Severe Weather Forecasts and Warnings in the Contiguous United States. University of Oklahoma Center for Risk and Crisis Management, http://risk.ou.edu/downloads/news/WX17-Reference-Report.pdf </w:t>
      </w:r>
    </w:p>
    <w:p w14:paraId="2142B7C4" w14:textId="6C46BFC8" w:rsidR="007B1F9D" w:rsidRDefault="007B1F9D" w:rsidP="007B1F9D">
      <w:pPr>
        <w:ind w:left="720" w:hanging="720"/>
        <w:contextualSpacing/>
      </w:pPr>
      <w:r>
        <w:t xml:space="preserve">Silva, C. L., Ripberger, J. T., Jenkins-Smith, H. C., </w:t>
      </w:r>
      <w:proofErr w:type="spellStart"/>
      <w:r>
        <w:t>Krocak</w:t>
      </w:r>
      <w:proofErr w:type="spellEnd"/>
      <w:r>
        <w:t xml:space="preserve">, M, and </w:t>
      </w:r>
      <w:proofErr w:type="spellStart"/>
      <w:r>
        <w:t>Wehde</w:t>
      </w:r>
      <w:proofErr w:type="spellEnd"/>
      <w:r>
        <w:t xml:space="preserve">, W. W., 2018: Continuing and Refining the Baseline: Public Reception, Understanding, and Responses to Severe Weather Forecasts and Warnings in the Contiguous United States. University of Oklahoma Center for Risk and Crisis Management, </w:t>
      </w:r>
      <w:hyperlink r:id="rId26" w:history="1">
        <w:r w:rsidR="00235399" w:rsidRPr="00493235">
          <w:rPr>
            <w:rStyle w:val="Hyperlink"/>
          </w:rPr>
          <w:t>http://risk.ou.edu/downloads/news/WX18-Reference-Report.pdf</w:t>
        </w:r>
      </w:hyperlink>
    </w:p>
    <w:p w14:paraId="0F6CD949" w14:textId="62832F7C" w:rsidR="006B3D21" w:rsidRDefault="00235399" w:rsidP="00235399">
      <w:pPr>
        <w:ind w:left="720" w:hanging="720"/>
        <w:contextualSpacing/>
      </w:pPr>
      <w:r>
        <w:t xml:space="preserve">Simmons, K. M. and D. Sutter, 2011: Tornado Warnings and Casualties, </w:t>
      </w:r>
      <w:r w:rsidRPr="00235399">
        <w:rPr>
          <w:i/>
        </w:rPr>
        <w:t>Economic and Societal Impacts of Tornadoes</w:t>
      </w:r>
      <w:r>
        <w:t xml:space="preserve">, Amer. Meteor. Soc., 117 </w:t>
      </w:r>
      <w:r w:rsidRPr="00235399">
        <w:t>–</w:t>
      </w:r>
      <w:r>
        <w:t xml:space="preserve"> 173.</w:t>
      </w:r>
      <w:r w:rsidR="006B3D21">
        <w:br w:type="page"/>
      </w:r>
    </w:p>
    <w:p w14:paraId="2C36A162" w14:textId="134E2F97" w:rsidR="00E54F78" w:rsidRPr="00E54F78" w:rsidRDefault="00E54F78" w:rsidP="00AE17AF">
      <w:pPr>
        <w:spacing w:after="200" w:line="276" w:lineRule="auto"/>
        <w:jc w:val="both"/>
        <w:rPr>
          <w:b/>
          <w:sz w:val="28"/>
        </w:rPr>
      </w:pPr>
      <w:r w:rsidRPr="00E54F78">
        <w:rPr>
          <w:b/>
          <w:sz w:val="28"/>
        </w:rPr>
        <w:lastRenderedPageBreak/>
        <w:t>Tables</w:t>
      </w:r>
    </w:p>
    <w:tbl>
      <w:tblPr>
        <w:tblStyle w:val="TableGrid"/>
        <w:tblW w:w="0" w:type="auto"/>
        <w:jc w:val="center"/>
        <w:tblCellMar>
          <w:left w:w="115" w:type="dxa"/>
          <w:right w:w="115" w:type="dxa"/>
        </w:tblCellMar>
        <w:tblLook w:val="04A0" w:firstRow="1" w:lastRow="0" w:firstColumn="1" w:lastColumn="0" w:noHBand="0" w:noVBand="1"/>
      </w:tblPr>
      <w:tblGrid>
        <w:gridCol w:w="4675"/>
        <w:gridCol w:w="4675"/>
      </w:tblGrid>
      <w:tr w:rsidR="00D14FD4" w14:paraId="1C335CD0" w14:textId="77777777" w:rsidTr="00F605A2">
        <w:trPr>
          <w:trHeight w:val="350"/>
          <w:jc w:val="center"/>
        </w:trPr>
        <w:tc>
          <w:tcPr>
            <w:tcW w:w="4675" w:type="dxa"/>
            <w:vAlign w:val="center"/>
          </w:tcPr>
          <w:p w14:paraId="228C00EC" w14:textId="718D53C5" w:rsidR="00D14FD4" w:rsidRPr="00D14FD4" w:rsidRDefault="00D14FD4" w:rsidP="00F605A2">
            <w:pPr>
              <w:spacing w:after="200" w:line="240" w:lineRule="auto"/>
              <w:contextualSpacing/>
              <w:jc w:val="center"/>
              <w:rPr>
                <w:b/>
              </w:rPr>
            </w:pPr>
            <w:r w:rsidRPr="00D14FD4">
              <w:rPr>
                <w:b/>
              </w:rPr>
              <w:t>Category</w:t>
            </w:r>
          </w:p>
        </w:tc>
        <w:tc>
          <w:tcPr>
            <w:tcW w:w="4675" w:type="dxa"/>
            <w:vAlign w:val="center"/>
          </w:tcPr>
          <w:p w14:paraId="700C1FF8" w14:textId="02A7A8B6" w:rsidR="00D14FD4" w:rsidRPr="00D14FD4" w:rsidRDefault="00D14FD4" w:rsidP="00F605A2">
            <w:pPr>
              <w:spacing w:after="200" w:line="240" w:lineRule="auto"/>
              <w:contextualSpacing/>
              <w:jc w:val="center"/>
              <w:rPr>
                <w:b/>
              </w:rPr>
            </w:pPr>
            <w:r w:rsidRPr="00D14FD4">
              <w:rPr>
                <w:b/>
              </w:rPr>
              <w:t>Description</w:t>
            </w:r>
          </w:p>
        </w:tc>
      </w:tr>
      <w:tr w:rsidR="00D14FD4" w14:paraId="4EE73B84" w14:textId="77777777" w:rsidTr="00D14FD4">
        <w:trPr>
          <w:trHeight w:val="144"/>
          <w:jc w:val="center"/>
        </w:trPr>
        <w:tc>
          <w:tcPr>
            <w:tcW w:w="4675" w:type="dxa"/>
          </w:tcPr>
          <w:p w14:paraId="797C6ACE" w14:textId="7323B7FE" w:rsidR="00D14FD4" w:rsidRDefault="00D14FD4" w:rsidP="00D14FD4">
            <w:pPr>
              <w:spacing w:after="200" w:line="240" w:lineRule="auto"/>
              <w:jc w:val="center"/>
            </w:pPr>
            <w:r>
              <w:t>Monitor</w:t>
            </w:r>
          </w:p>
        </w:tc>
        <w:tc>
          <w:tcPr>
            <w:tcW w:w="4675" w:type="dxa"/>
          </w:tcPr>
          <w:p w14:paraId="351A5979" w14:textId="5ADF4BCA" w:rsidR="00D14FD4" w:rsidRDefault="00D14FD4" w:rsidP="00D14FD4">
            <w:pPr>
              <w:spacing w:after="200" w:line="240" w:lineRule="auto"/>
              <w:jc w:val="center"/>
            </w:pPr>
            <w:r>
              <w:t>Watch as the situation unfolds, monitor apps or other weather information</w:t>
            </w:r>
            <w:r w:rsidR="001E4677">
              <w:t>.</w:t>
            </w:r>
          </w:p>
        </w:tc>
      </w:tr>
      <w:tr w:rsidR="00D14FD4" w14:paraId="174C3600" w14:textId="77777777" w:rsidTr="00D14FD4">
        <w:trPr>
          <w:trHeight w:val="144"/>
          <w:jc w:val="center"/>
        </w:trPr>
        <w:tc>
          <w:tcPr>
            <w:tcW w:w="4675" w:type="dxa"/>
          </w:tcPr>
          <w:p w14:paraId="17E31883" w14:textId="6FEB3BC4" w:rsidR="00D14FD4" w:rsidRDefault="00D14FD4" w:rsidP="00D14FD4">
            <w:pPr>
              <w:spacing w:after="200" w:line="240" w:lineRule="auto"/>
              <w:jc w:val="center"/>
            </w:pPr>
            <w:r>
              <w:t>Prepare</w:t>
            </w:r>
          </w:p>
        </w:tc>
        <w:tc>
          <w:tcPr>
            <w:tcW w:w="4675" w:type="dxa"/>
          </w:tcPr>
          <w:p w14:paraId="7E302018" w14:textId="185613F5" w:rsidR="00D14FD4" w:rsidRDefault="00D14FD4" w:rsidP="00D14FD4">
            <w:pPr>
              <w:spacing w:after="200" w:line="240" w:lineRule="auto"/>
              <w:jc w:val="center"/>
            </w:pPr>
            <w:r>
              <w:t>Prepare for the incoming weather, gather family, supplies, etc</w:t>
            </w:r>
            <w:r w:rsidR="00F1027A">
              <w:t>.</w:t>
            </w:r>
          </w:p>
        </w:tc>
      </w:tr>
      <w:tr w:rsidR="00D14FD4" w14:paraId="5106804D" w14:textId="77777777" w:rsidTr="00D14FD4">
        <w:trPr>
          <w:trHeight w:val="144"/>
          <w:jc w:val="center"/>
        </w:trPr>
        <w:tc>
          <w:tcPr>
            <w:tcW w:w="4675" w:type="dxa"/>
          </w:tcPr>
          <w:p w14:paraId="61C06C73" w14:textId="78152DFE" w:rsidR="00D14FD4" w:rsidRDefault="00D14FD4" w:rsidP="00D14FD4">
            <w:pPr>
              <w:spacing w:after="200" w:line="240" w:lineRule="auto"/>
              <w:jc w:val="center"/>
            </w:pPr>
            <w:r>
              <w:t>Take shelter</w:t>
            </w:r>
          </w:p>
        </w:tc>
        <w:tc>
          <w:tcPr>
            <w:tcW w:w="4675" w:type="dxa"/>
          </w:tcPr>
          <w:p w14:paraId="2E0D5870" w14:textId="0A0321F5" w:rsidR="00D14FD4" w:rsidRDefault="00776AD1" w:rsidP="00776AD1">
            <w:pPr>
              <w:spacing w:after="200" w:line="240" w:lineRule="auto"/>
              <w:jc w:val="center"/>
            </w:pPr>
            <w:r>
              <w:t xml:space="preserve">Move to a safe </w:t>
            </w:r>
            <w:r w:rsidR="001E4677">
              <w:t xml:space="preserve">area near the </w:t>
            </w:r>
            <w:r>
              <w:t xml:space="preserve">location </w:t>
            </w:r>
            <w:r w:rsidR="001E4677">
              <w:t xml:space="preserve">the respondent is currently at </w:t>
            </w:r>
            <w:r>
              <w:t>and wait until the event is over</w:t>
            </w:r>
            <w:r w:rsidR="001E4677">
              <w:t>. This includes locations that aren’t specifically shelters (like basements or interior rooms), as well as specific storm cellars and shelters.</w:t>
            </w:r>
          </w:p>
        </w:tc>
      </w:tr>
      <w:tr w:rsidR="00D14FD4" w14:paraId="4927A1CB" w14:textId="77777777" w:rsidTr="00D14FD4">
        <w:trPr>
          <w:trHeight w:val="144"/>
          <w:jc w:val="center"/>
        </w:trPr>
        <w:tc>
          <w:tcPr>
            <w:tcW w:w="4675" w:type="dxa"/>
          </w:tcPr>
          <w:p w14:paraId="4824579F" w14:textId="48738AF8" w:rsidR="00D14FD4" w:rsidRDefault="00D14FD4" w:rsidP="00D14FD4">
            <w:pPr>
              <w:spacing w:after="200" w:line="240" w:lineRule="auto"/>
              <w:jc w:val="center"/>
            </w:pPr>
            <w:r>
              <w:t>Leave</w:t>
            </w:r>
          </w:p>
        </w:tc>
        <w:tc>
          <w:tcPr>
            <w:tcW w:w="4675" w:type="dxa"/>
          </w:tcPr>
          <w:p w14:paraId="35423CEA" w14:textId="423DE0A1" w:rsidR="00D14FD4" w:rsidRDefault="00776AD1" w:rsidP="00776AD1">
            <w:pPr>
              <w:spacing w:after="200" w:line="240" w:lineRule="auto"/>
              <w:jc w:val="center"/>
            </w:pPr>
            <w:r>
              <w:t>Leave the location the respondent is currently located</w:t>
            </w:r>
            <w:r w:rsidR="001E4677">
              <w:t>. This includes responses that describe intention to leave the area to avoid the event altogether or to get to a shelter location.</w:t>
            </w:r>
          </w:p>
        </w:tc>
      </w:tr>
      <w:tr w:rsidR="00D14FD4" w14:paraId="1126EA06" w14:textId="77777777" w:rsidTr="00D14FD4">
        <w:trPr>
          <w:trHeight w:val="144"/>
          <w:jc w:val="center"/>
        </w:trPr>
        <w:tc>
          <w:tcPr>
            <w:tcW w:w="4675" w:type="dxa"/>
          </w:tcPr>
          <w:p w14:paraId="4F2A8757" w14:textId="20637724" w:rsidR="00D14FD4" w:rsidRDefault="00D14FD4" w:rsidP="00D14FD4">
            <w:pPr>
              <w:spacing w:after="200" w:line="240" w:lineRule="auto"/>
              <w:jc w:val="center"/>
            </w:pPr>
            <w:r>
              <w:t>Nothing</w:t>
            </w:r>
          </w:p>
        </w:tc>
        <w:tc>
          <w:tcPr>
            <w:tcW w:w="4675" w:type="dxa"/>
          </w:tcPr>
          <w:p w14:paraId="2D96E6F4" w14:textId="436B7347" w:rsidR="00D14FD4" w:rsidRDefault="00F605A2" w:rsidP="00D14FD4">
            <w:pPr>
              <w:spacing w:after="200" w:line="240" w:lineRule="auto"/>
              <w:jc w:val="center"/>
            </w:pPr>
            <w:r>
              <w:t>Do nothing in response to the event information</w:t>
            </w:r>
            <w:r w:rsidR="001E4677">
              <w:t>.</w:t>
            </w:r>
          </w:p>
        </w:tc>
      </w:tr>
      <w:tr w:rsidR="00D14FD4" w14:paraId="53C75E72" w14:textId="77777777" w:rsidTr="00D14FD4">
        <w:trPr>
          <w:trHeight w:val="144"/>
          <w:jc w:val="center"/>
        </w:trPr>
        <w:tc>
          <w:tcPr>
            <w:tcW w:w="4675" w:type="dxa"/>
          </w:tcPr>
          <w:p w14:paraId="24BC49E7" w14:textId="0D61BFCF" w:rsidR="00D14FD4" w:rsidRDefault="00D14FD4" w:rsidP="00D14FD4">
            <w:pPr>
              <w:spacing w:after="200" w:line="240" w:lineRule="auto"/>
              <w:jc w:val="center"/>
            </w:pPr>
            <w:r>
              <w:t>Unsure</w:t>
            </w:r>
          </w:p>
        </w:tc>
        <w:tc>
          <w:tcPr>
            <w:tcW w:w="4675" w:type="dxa"/>
          </w:tcPr>
          <w:p w14:paraId="666BE1EE" w14:textId="0C323E0B" w:rsidR="00D14FD4" w:rsidRDefault="00F605A2" w:rsidP="00D14FD4">
            <w:pPr>
              <w:spacing w:after="200" w:line="240" w:lineRule="auto"/>
              <w:jc w:val="center"/>
            </w:pPr>
            <w:r>
              <w:t>The respondent does not know what they would or should do in response to the event information</w:t>
            </w:r>
            <w:r w:rsidR="001E4677">
              <w:t>.</w:t>
            </w:r>
          </w:p>
        </w:tc>
      </w:tr>
      <w:tr w:rsidR="00F605A2" w14:paraId="3F633B88" w14:textId="77777777" w:rsidTr="00F605A2">
        <w:trPr>
          <w:trHeight w:val="144"/>
          <w:jc w:val="center"/>
        </w:trPr>
        <w:tc>
          <w:tcPr>
            <w:tcW w:w="9350" w:type="dxa"/>
            <w:gridSpan w:val="2"/>
            <w:tcBorders>
              <w:left w:val="nil"/>
              <w:bottom w:val="nil"/>
              <w:right w:val="nil"/>
            </w:tcBorders>
          </w:tcPr>
          <w:p w14:paraId="229B6AF7" w14:textId="3111F907" w:rsidR="00F605A2" w:rsidRDefault="00F605A2" w:rsidP="00AA637C">
            <w:pPr>
              <w:spacing w:after="200" w:line="240" w:lineRule="auto"/>
            </w:pPr>
            <w:r w:rsidRPr="00F605A2">
              <w:rPr>
                <w:b/>
              </w:rPr>
              <w:t>Table 1</w:t>
            </w:r>
            <w:r>
              <w:t>: Response categories and their descriptions</w:t>
            </w:r>
            <w:r w:rsidR="004D2F31">
              <w:t>.</w:t>
            </w:r>
          </w:p>
        </w:tc>
      </w:tr>
    </w:tbl>
    <w:p w14:paraId="61D6F03A" w14:textId="016812A1" w:rsidR="005712C6" w:rsidRDefault="005712C6" w:rsidP="00DB1DA9">
      <w:pPr>
        <w:spacing w:after="200" w:line="276" w:lineRule="auto"/>
      </w:pPr>
    </w:p>
    <w:p w14:paraId="0DCAB9DD" w14:textId="77777777" w:rsidR="005712C6" w:rsidRDefault="005712C6" w:rsidP="005712C6">
      <w:pPr>
        <w:spacing w:after="200" w:line="276" w:lineRule="auto"/>
      </w:pPr>
      <w:r>
        <w:br w:type="page"/>
      </w:r>
    </w:p>
    <w:p w14:paraId="68623DF8" w14:textId="1EB1A132" w:rsidR="00E54F78" w:rsidRPr="005712C6" w:rsidRDefault="005712C6">
      <w:pPr>
        <w:spacing w:after="200" w:line="276" w:lineRule="auto"/>
        <w:rPr>
          <w:b/>
          <w:sz w:val="28"/>
        </w:rPr>
      </w:pPr>
      <w:r w:rsidRPr="005712C6">
        <w:rPr>
          <w:b/>
          <w:sz w:val="28"/>
        </w:rPr>
        <w:lastRenderedPageBreak/>
        <w:t>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733D6" w14:paraId="2AC6D16B" w14:textId="77777777" w:rsidTr="00F515A7">
        <w:tc>
          <w:tcPr>
            <w:tcW w:w="9360" w:type="dxa"/>
          </w:tcPr>
          <w:p w14:paraId="6AFA98DA" w14:textId="3296B6D7" w:rsidR="009733D6" w:rsidRDefault="009733D6">
            <w:pPr>
              <w:spacing w:after="200" w:line="276" w:lineRule="auto"/>
            </w:pPr>
            <w:r>
              <w:rPr>
                <w:noProof/>
              </w:rPr>
              <w:drawing>
                <wp:inline distT="0" distB="0" distL="0" distR="0" wp14:anchorId="5AF11CFD" wp14:editId="53366BEC">
                  <wp:extent cx="5806966" cy="40648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per_separate_words.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806966" cy="4064876"/>
                          </a:xfrm>
                          <a:prstGeom prst="rect">
                            <a:avLst/>
                          </a:prstGeom>
                        </pic:spPr>
                      </pic:pic>
                    </a:graphicData>
                  </a:graphic>
                </wp:inline>
              </w:drawing>
            </w:r>
          </w:p>
        </w:tc>
      </w:tr>
      <w:tr w:rsidR="00E90171" w14:paraId="198495D2" w14:textId="77777777" w:rsidTr="009733D6">
        <w:tc>
          <w:tcPr>
            <w:tcW w:w="9360" w:type="dxa"/>
          </w:tcPr>
          <w:p w14:paraId="06F90013" w14:textId="2934E30F" w:rsidR="00E90171" w:rsidRDefault="00E90171">
            <w:pPr>
              <w:spacing w:after="200" w:line="276" w:lineRule="auto"/>
            </w:pPr>
            <w:r w:rsidRPr="00E90171">
              <w:rPr>
                <w:b/>
              </w:rPr>
              <w:t>Figure 1:</w:t>
            </w:r>
            <w:r>
              <w:t xml:space="preserve"> The p</w:t>
            </w:r>
            <w:r w:rsidR="002B222E">
              <w:t>ercentage</w:t>
            </w:r>
            <w:r>
              <w:t xml:space="preserve"> </w:t>
            </w:r>
            <w:r w:rsidR="007232F8">
              <w:t xml:space="preserve">and number </w:t>
            </w:r>
            <w:r>
              <w:t xml:space="preserve">of </w:t>
            </w:r>
            <w:r w:rsidR="00246737">
              <w:t>responses containing</w:t>
            </w:r>
            <w:r>
              <w:t xml:space="preserve"> the most common words in response to 4 hours of </w:t>
            </w:r>
            <w:r w:rsidR="00C441BF">
              <w:t xml:space="preserve">advance notice </w:t>
            </w:r>
            <w:r>
              <w:t>(</w:t>
            </w:r>
            <w:r w:rsidR="00C441BF">
              <w:t>a</w:t>
            </w:r>
            <w:r w:rsidR="00246737">
              <w:t>, n=1392</w:t>
            </w:r>
            <w:r>
              <w:t xml:space="preserve">) and 8 hours of </w:t>
            </w:r>
            <w:r w:rsidR="00C441BF">
              <w:t>advance notice</w:t>
            </w:r>
            <w:r>
              <w:t xml:space="preserve"> (</w:t>
            </w:r>
            <w:r w:rsidR="00C441BF">
              <w:t>b</w:t>
            </w:r>
            <w:r w:rsidR="00246737">
              <w:t>, n=1404</w:t>
            </w:r>
            <w:r>
              <w:t>) for a dangerous tornado.</w:t>
            </w:r>
          </w:p>
        </w:tc>
      </w:tr>
    </w:tbl>
    <w:p w14:paraId="237E9079" w14:textId="77777777" w:rsidR="00F74C63" w:rsidRDefault="00F74C63">
      <w:pPr>
        <w:spacing w:after="200" w:line="276" w:lineRule="auto"/>
      </w:pPr>
      <w:r>
        <w:br w:type="page"/>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F74C63" w14:paraId="4924D368" w14:textId="77777777" w:rsidTr="00E90171">
        <w:tc>
          <w:tcPr>
            <w:tcW w:w="8640" w:type="dxa"/>
          </w:tcPr>
          <w:p w14:paraId="49792F9F" w14:textId="77777777" w:rsidR="00F74C63" w:rsidRDefault="00F74C63" w:rsidP="00E90171">
            <w:pPr>
              <w:ind w:left="-110"/>
              <w:jc w:val="center"/>
            </w:pPr>
            <w:r>
              <w:rPr>
                <w:noProof/>
                <w:lang w:bidi="ar-SA"/>
              </w:rPr>
              <w:lastRenderedPageBreak/>
              <w:drawing>
                <wp:inline distT="0" distB="0" distL="0" distR="0" wp14:anchorId="29FEBD47" wp14:editId="3A1C6C21">
                  <wp:extent cx="4081168" cy="40811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pace_80.png"/>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4081168" cy="4081168"/>
                          </a:xfrm>
                          <a:prstGeom prst="rect">
                            <a:avLst/>
                          </a:prstGeom>
                          <a:ln>
                            <a:noFill/>
                          </a:ln>
                          <a:extLst>
                            <a:ext uri="{53640926-AAD7-44D8-BBD7-CCE9431645EC}">
                              <a14:shadowObscured xmlns:a14="http://schemas.microsoft.com/office/drawing/2010/main"/>
                            </a:ext>
                          </a:extLst>
                        </pic:spPr>
                      </pic:pic>
                    </a:graphicData>
                  </a:graphic>
                </wp:inline>
              </w:drawing>
            </w:r>
          </w:p>
        </w:tc>
      </w:tr>
      <w:tr w:rsidR="00F74C63" w14:paraId="39D14A58" w14:textId="77777777" w:rsidTr="00D14FD4">
        <w:tc>
          <w:tcPr>
            <w:tcW w:w="8640" w:type="dxa"/>
          </w:tcPr>
          <w:p w14:paraId="24CF2529" w14:textId="6F9E84D1" w:rsidR="00F74C63" w:rsidRDefault="00EA480E" w:rsidP="00E90171">
            <w:pPr>
              <w:spacing w:line="240" w:lineRule="auto"/>
              <w:contextualSpacing/>
            </w:pPr>
            <w:r w:rsidRPr="00EA480E">
              <w:rPr>
                <w:b/>
              </w:rPr>
              <w:t>Figure 2:</w:t>
            </w:r>
            <w:r>
              <w:t xml:space="preserve"> </w:t>
            </w:r>
            <w:r w:rsidR="00E90171">
              <w:t xml:space="preserve">Difference in </w:t>
            </w:r>
            <w:r w:rsidR="008B068A">
              <w:t>percentage</w:t>
            </w:r>
            <w:r w:rsidR="00E90171">
              <w:t xml:space="preserve"> of use between 8 hours (</w:t>
            </w:r>
            <w:r w:rsidR="00C441BF">
              <w:t xml:space="preserve">orange </w:t>
            </w:r>
            <w:r w:rsidR="00E90171">
              <w:t>bars indicate higher percentage use)</w:t>
            </w:r>
            <w:r w:rsidR="00217DCC">
              <w:t xml:space="preserve"> and 4 hours (</w:t>
            </w:r>
            <w:r w:rsidR="00C441BF">
              <w:t xml:space="preserve">blue </w:t>
            </w:r>
            <w:r w:rsidR="00217DCC">
              <w:t xml:space="preserve">bars indicate higher percentage use) of </w:t>
            </w:r>
            <w:r w:rsidR="00C441BF">
              <w:t>advance notice</w:t>
            </w:r>
            <w:r w:rsidR="00217DCC">
              <w:t>.</w:t>
            </w:r>
            <w:r w:rsidR="002B222E">
              <w:t xml:space="preserve"> </w:t>
            </w:r>
            <w:r w:rsidR="00A07226">
              <w:t>*</w:t>
            </w:r>
            <w:r w:rsidR="00C258B6">
              <w:t xml:space="preserve"> p</w:t>
            </w:r>
            <w:r w:rsidR="00A07226">
              <w:t xml:space="preserve"> &lt; 0.1.</w:t>
            </w:r>
            <w:r w:rsidR="002B222E">
              <w:t xml:space="preserve"> </w:t>
            </w:r>
          </w:p>
        </w:tc>
      </w:tr>
    </w:tbl>
    <w:p w14:paraId="2D1DF181" w14:textId="77777777" w:rsidR="007B43FD" w:rsidRDefault="007B43FD" w:rsidP="007B43FD">
      <w:pPr>
        <w:ind w:left="720" w:hanging="720"/>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733D6" w14:paraId="1F62775E" w14:textId="77777777" w:rsidTr="00F515A7">
        <w:tc>
          <w:tcPr>
            <w:tcW w:w="9360" w:type="dxa"/>
          </w:tcPr>
          <w:p w14:paraId="09A87A24" w14:textId="38E0343C" w:rsidR="009733D6" w:rsidRDefault="009733D6" w:rsidP="0029696A">
            <w:pPr>
              <w:spacing w:after="200" w:line="276" w:lineRule="auto"/>
            </w:pPr>
            <w:r>
              <w:rPr>
                <w:noProof/>
              </w:rPr>
              <w:lastRenderedPageBreak/>
              <w:drawing>
                <wp:inline distT="0" distB="0" distL="0" distR="0" wp14:anchorId="0C40C4DB" wp14:editId="20D84ABD">
                  <wp:extent cx="5940296" cy="2970148"/>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per_separate_cats.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0296" cy="2970148"/>
                          </a:xfrm>
                          <a:prstGeom prst="rect">
                            <a:avLst/>
                          </a:prstGeom>
                        </pic:spPr>
                      </pic:pic>
                    </a:graphicData>
                  </a:graphic>
                </wp:inline>
              </w:drawing>
            </w:r>
          </w:p>
        </w:tc>
      </w:tr>
      <w:tr w:rsidR="0029696A" w14:paraId="11BFC7AC" w14:textId="77777777" w:rsidTr="009733D6">
        <w:tc>
          <w:tcPr>
            <w:tcW w:w="9360" w:type="dxa"/>
          </w:tcPr>
          <w:p w14:paraId="6313014B" w14:textId="52736164" w:rsidR="0029696A" w:rsidRDefault="0029696A" w:rsidP="0029696A">
            <w:pPr>
              <w:spacing w:after="200" w:line="276" w:lineRule="auto"/>
            </w:pPr>
            <w:r w:rsidRPr="00E90171">
              <w:rPr>
                <w:b/>
              </w:rPr>
              <w:t xml:space="preserve">Figure </w:t>
            </w:r>
            <w:r>
              <w:rPr>
                <w:b/>
              </w:rPr>
              <w:t>3</w:t>
            </w:r>
            <w:r w:rsidRPr="00E90171">
              <w:rPr>
                <w:b/>
              </w:rPr>
              <w:t>:</w:t>
            </w:r>
            <w:r>
              <w:t xml:space="preserve"> The </w:t>
            </w:r>
            <w:r w:rsidR="008B068A">
              <w:t>percentage</w:t>
            </w:r>
            <w:r w:rsidR="00186985">
              <w:t xml:space="preserve"> </w:t>
            </w:r>
            <w:r w:rsidR="002B222E">
              <w:t xml:space="preserve">and </w:t>
            </w:r>
            <w:r w:rsidR="00186985">
              <w:t>number</w:t>
            </w:r>
            <w:r>
              <w:t xml:space="preserve"> of responses in each response category for 4 hours (</w:t>
            </w:r>
            <w:r w:rsidR="00C441BF">
              <w:t>a</w:t>
            </w:r>
            <w:r w:rsidR="002B222E">
              <w:t>, n=1392</w:t>
            </w:r>
            <w:r>
              <w:t>) and 8 hours (</w:t>
            </w:r>
            <w:r w:rsidR="00C441BF">
              <w:t>b</w:t>
            </w:r>
            <w:r w:rsidR="002B222E">
              <w:t>, n=1404</w:t>
            </w:r>
            <w:r>
              <w:t xml:space="preserve">) of </w:t>
            </w:r>
            <w:r w:rsidR="00C441BF">
              <w:t>advance notice</w:t>
            </w:r>
            <w:r>
              <w:t xml:space="preserve">.  </w:t>
            </w:r>
          </w:p>
          <w:p w14:paraId="6FD73B2F" w14:textId="77777777" w:rsidR="00B22383" w:rsidRDefault="00B22383" w:rsidP="0029696A">
            <w:pPr>
              <w:spacing w:after="200" w:line="276" w:lineRule="auto"/>
            </w:pPr>
          </w:p>
          <w:p w14:paraId="2600EDF4" w14:textId="77777777" w:rsidR="003610D8" w:rsidRDefault="003610D8" w:rsidP="0029696A">
            <w:pPr>
              <w:spacing w:after="200" w:line="276" w:lineRule="auto"/>
            </w:pPr>
          </w:p>
          <w:p w14:paraId="1F8A2525" w14:textId="2F06769B" w:rsidR="003610D8" w:rsidRDefault="003610D8" w:rsidP="0029696A">
            <w:pPr>
              <w:spacing w:after="200" w:line="276" w:lineRule="auto"/>
            </w:pPr>
          </w:p>
        </w:tc>
      </w:tr>
      <w:tr w:rsidR="00F74C63" w14:paraId="10C2F518" w14:textId="77777777" w:rsidTr="009733D6">
        <w:tc>
          <w:tcPr>
            <w:tcW w:w="9360" w:type="dxa"/>
          </w:tcPr>
          <w:p w14:paraId="70C6AC0A" w14:textId="77777777" w:rsidR="00F74C63" w:rsidRDefault="00F74C63" w:rsidP="003610D8">
            <w:pPr>
              <w:jc w:val="center"/>
            </w:pPr>
            <w:r>
              <w:rPr>
                <w:noProof/>
                <w:lang w:bidi="ar-SA"/>
              </w:rPr>
              <w:lastRenderedPageBreak/>
              <w:drawing>
                <wp:inline distT="0" distB="0" distL="0" distR="0" wp14:anchorId="7B14DA0C" wp14:editId="5A976245">
                  <wp:extent cx="4862090" cy="347292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pace_all.png"/>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4862090" cy="3472921"/>
                          </a:xfrm>
                          <a:prstGeom prst="rect">
                            <a:avLst/>
                          </a:prstGeom>
                          <a:ln>
                            <a:noFill/>
                          </a:ln>
                          <a:extLst>
                            <a:ext uri="{53640926-AAD7-44D8-BBD7-CCE9431645EC}">
                              <a14:shadowObscured xmlns:a14="http://schemas.microsoft.com/office/drawing/2010/main"/>
                            </a:ext>
                          </a:extLst>
                        </pic:spPr>
                      </pic:pic>
                    </a:graphicData>
                  </a:graphic>
                </wp:inline>
              </w:drawing>
            </w:r>
          </w:p>
        </w:tc>
      </w:tr>
      <w:tr w:rsidR="00F74C63" w14:paraId="40C4EB9C" w14:textId="77777777" w:rsidTr="009733D6">
        <w:tc>
          <w:tcPr>
            <w:tcW w:w="9360" w:type="dxa"/>
          </w:tcPr>
          <w:p w14:paraId="22415E21" w14:textId="7D6DC499" w:rsidR="00F74C63" w:rsidRDefault="00EA480E" w:rsidP="00EA27F7">
            <w:pPr>
              <w:spacing w:line="240" w:lineRule="auto"/>
              <w:contextualSpacing/>
            </w:pPr>
            <w:r w:rsidRPr="00EA480E">
              <w:rPr>
                <w:b/>
              </w:rPr>
              <w:t xml:space="preserve">Figure </w:t>
            </w:r>
            <w:r w:rsidR="00E0474A">
              <w:rPr>
                <w:b/>
              </w:rPr>
              <w:t>4</w:t>
            </w:r>
            <w:r w:rsidRPr="00EA480E">
              <w:rPr>
                <w:b/>
              </w:rPr>
              <w:t>:</w:t>
            </w:r>
            <w:r>
              <w:t xml:space="preserve"> The </w:t>
            </w:r>
            <w:r w:rsidR="00B22383">
              <w:t xml:space="preserve">difference in </w:t>
            </w:r>
            <w:r w:rsidR="008B068A">
              <w:t xml:space="preserve">percentage </w:t>
            </w:r>
            <w:r w:rsidR="00B22383">
              <w:t>of response categories between 8 hours (</w:t>
            </w:r>
            <w:r w:rsidR="00C441BF">
              <w:t xml:space="preserve">orange </w:t>
            </w:r>
            <w:r w:rsidR="00B22383">
              <w:t>bars indicate more responses in this category) and 4 hours (</w:t>
            </w:r>
            <w:r w:rsidR="00C441BF">
              <w:t xml:space="preserve">blue </w:t>
            </w:r>
            <w:r w:rsidR="00B22383">
              <w:t xml:space="preserve">bars indicate more responses in this category) </w:t>
            </w:r>
            <w:r w:rsidR="00B22383" w:rsidRPr="00D73C8B">
              <w:t xml:space="preserve">of </w:t>
            </w:r>
            <w:r w:rsidR="00C441BF" w:rsidRPr="00D73C8B">
              <w:t>advance notice</w:t>
            </w:r>
            <w:r w:rsidR="00B22383" w:rsidRPr="00D73C8B">
              <w:t>.</w:t>
            </w:r>
            <w:r w:rsidR="002B222E" w:rsidRPr="00D73C8B">
              <w:t xml:space="preserve"> </w:t>
            </w:r>
            <w:r w:rsidR="00D73C8B" w:rsidRPr="00D73C8B">
              <w:t>* p &lt; 0.1.</w:t>
            </w:r>
          </w:p>
        </w:tc>
      </w:tr>
    </w:tbl>
    <w:p w14:paraId="52650C41" w14:textId="4179BCD4" w:rsidR="00AC1E83" w:rsidRDefault="00AC1E83" w:rsidP="00E0474A">
      <w:pPr>
        <w:spacing w:after="200" w:line="276" w:lineRule="auto"/>
      </w:pPr>
    </w:p>
    <w:sectPr w:rsidR="00AC1E83" w:rsidSect="00AC1E83">
      <w:footerReference w:type="default" r:id="rId3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797E8" w14:textId="77777777" w:rsidR="00043370" w:rsidRDefault="00043370">
      <w:pPr>
        <w:spacing w:line="240" w:lineRule="auto"/>
      </w:pPr>
      <w:r>
        <w:separator/>
      </w:r>
    </w:p>
  </w:endnote>
  <w:endnote w:type="continuationSeparator" w:id="0">
    <w:p w14:paraId="5E403A66" w14:textId="77777777" w:rsidR="00043370" w:rsidRDefault="000433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9570181"/>
      <w:docPartObj>
        <w:docPartGallery w:val="Page Numbers (Bottom of Page)"/>
        <w:docPartUnique/>
      </w:docPartObj>
    </w:sdtPr>
    <w:sdtEndPr>
      <w:rPr>
        <w:noProof/>
      </w:rPr>
    </w:sdtEndPr>
    <w:sdtContent>
      <w:p w14:paraId="58B322CD" w14:textId="77777777" w:rsidR="008E1936" w:rsidRDefault="008E1936">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6B4AE963" w14:textId="77777777" w:rsidR="008E1936" w:rsidRDefault="008E1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55AFD" w14:textId="77777777" w:rsidR="00043370" w:rsidRDefault="00043370">
      <w:pPr>
        <w:spacing w:line="240" w:lineRule="auto"/>
      </w:pPr>
      <w:r>
        <w:separator/>
      </w:r>
    </w:p>
  </w:footnote>
  <w:footnote w:type="continuationSeparator" w:id="0">
    <w:p w14:paraId="084CB5DB" w14:textId="77777777" w:rsidR="00043370" w:rsidRDefault="0004337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65D45"/>
    <w:multiLevelType w:val="hybridMultilevel"/>
    <w:tmpl w:val="E30CE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AF6037"/>
    <w:multiLevelType w:val="multilevel"/>
    <w:tmpl w:val="01708412"/>
    <w:styleLink w:val="Headings"/>
    <w:lvl w:ilvl="0">
      <w:start w:val="1"/>
      <w:numFmt w:val="decimal"/>
      <w:pStyle w:val="Heading1"/>
      <w:suff w:val="space"/>
      <w:lvlText w:val="%1."/>
      <w:lvlJc w:val="left"/>
      <w:pPr>
        <w:ind w:left="405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6E033A5F"/>
    <w:multiLevelType w:val="multilevel"/>
    <w:tmpl w:val="01708412"/>
    <w:numStyleLink w:val="Headings"/>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5F5"/>
    <w:rsid w:val="00000E0A"/>
    <w:rsid w:val="00005C4B"/>
    <w:rsid w:val="00011F19"/>
    <w:rsid w:val="000146BE"/>
    <w:rsid w:val="00015935"/>
    <w:rsid w:val="000230EA"/>
    <w:rsid w:val="00024390"/>
    <w:rsid w:val="00024A27"/>
    <w:rsid w:val="0004208B"/>
    <w:rsid w:val="00043370"/>
    <w:rsid w:val="000504B0"/>
    <w:rsid w:val="00054536"/>
    <w:rsid w:val="00054AF5"/>
    <w:rsid w:val="000604C8"/>
    <w:rsid w:val="000626BB"/>
    <w:rsid w:val="00066613"/>
    <w:rsid w:val="0006668F"/>
    <w:rsid w:val="00077DCD"/>
    <w:rsid w:val="00083B08"/>
    <w:rsid w:val="00086315"/>
    <w:rsid w:val="00093740"/>
    <w:rsid w:val="00094211"/>
    <w:rsid w:val="00096860"/>
    <w:rsid w:val="000A4A77"/>
    <w:rsid w:val="000A66C7"/>
    <w:rsid w:val="000B23F7"/>
    <w:rsid w:val="000B32FD"/>
    <w:rsid w:val="000C2B22"/>
    <w:rsid w:val="000D094A"/>
    <w:rsid w:val="000F2854"/>
    <w:rsid w:val="000F41C6"/>
    <w:rsid w:val="000F74D6"/>
    <w:rsid w:val="00100628"/>
    <w:rsid w:val="00110C01"/>
    <w:rsid w:val="00113FA1"/>
    <w:rsid w:val="0011625E"/>
    <w:rsid w:val="00120A3B"/>
    <w:rsid w:val="00135151"/>
    <w:rsid w:val="00137D30"/>
    <w:rsid w:val="00146074"/>
    <w:rsid w:val="00160223"/>
    <w:rsid w:val="00161D1B"/>
    <w:rsid w:val="00161D91"/>
    <w:rsid w:val="00173399"/>
    <w:rsid w:val="00176F93"/>
    <w:rsid w:val="00183E54"/>
    <w:rsid w:val="00186985"/>
    <w:rsid w:val="001966D4"/>
    <w:rsid w:val="00197987"/>
    <w:rsid w:val="001A0CDE"/>
    <w:rsid w:val="001A15BE"/>
    <w:rsid w:val="001A2E4E"/>
    <w:rsid w:val="001C55E1"/>
    <w:rsid w:val="001D72B6"/>
    <w:rsid w:val="001E1079"/>
    <w:rsid w:val="001E4677"/>
    <w:rsid w:val="001F0085"/>
    <w:rsid w:val="001F1287"/>
    <w:rsid w:val="001F1750"/>
    <w:rsid w:val="002072AC"/>
    <w:rsid w:val="00217DCC"/>
    <w:rsid w:val="00224994"/>
    <w:rsid w:val="0023447F"/>
    <w:rsid w:val="00235399"/>
    <w:rsid w:val="00242875"/>
    <w:rsid w:val="00246737"/>
    <w:rsid w:val="00246DF3"/>
    <w:rsid w:val="002470A1"/>
    <w:rsid w:val="00247FFA"/>
    <w:rsid w:val="00250235"/>
    <w:rsid w:val="00255B38"/>
    <w:rsid w:val="00265A45"/>
    <w:rsid w:val="00266048"/>
    <w:rsid w:val="00274B93"/>
    <w:rsid w:val="00275F26"/>
    <w:rsid w:val="00275F8B"/>
    <w:rsid w:val="002841C9"/>
    <w:rsid w:val="0029696A"/>
    <w:rsid w:val="002A724C"/>
    <w:rsid w:val="002B1171"/>
    <w:rsid w:val="002B12E9"/>
    <w:rsid w:val="002B222E"/>
    <w:rsid w:val="002B7576"/>
    <w:rsid w:val="0030294D"/>
    <w:rsid w:val="00312174"/>
    <w:rsid w:val="00314D42"/>
    <w:rsid w:val="0031603C"/>
    <w:rsid w:val="003239B4"/>
    <w:rsid w:val="0032489E"/>
    <w:rsid w:val="00332B43"/>
    <w:rsid w:val="00333DD5"/>
    <w:rsid w:val="00340D50"/>
    <w:rsid w:val="003452F8"/>
    <w:rsid w:val="00347A94"/>
    <w:rsid w:val="00360DE1"/>
    <w:rsid w:val="003610D8"/>
    <w:rsid w:val="00361B77"/>
    <w:rsid w:val="003651B2"/>
    <w:rsid w:val="0037539F"/>
    <w:rsid w:val="00380065"/>
    <w:rsid w:val="003829C5"/>
    <w:rsid w:val="003A3009"/>
    <w:rsid w:val="003A56C0"/>
    <w:rsid w:val="003B068A"/>
    <w:rsid w:val="003C5919"/>
    <w:rsid w:val="003C65FA"/>
    <w:rsid w:val="003D3FA7"/>
    <w:rsid w:val="003E08F3"/>
    <w:rsid w:val="003E1E0E"/>
    <w:rsid w:val="003E3E3B"/>
    <w:rsid w:val="003E6665"/>
    <w:rsid w:val="003E6A51"/>
    <w:rsid w:val="00401C36"/>
    <w:rsid w:val="00401DFD"/>
    <w:rsid w:val="004036C4"/>
    <w:rsid w:val="00403C0E"/>
    <w:rsid w:val="00414ABB"/>
    <w:rsid w:val="004220AF"/>
    <w:rsid w:val="00424CA5"/>
    <w:rsid w:val="00425965"/>
    <w:rsid w:val="00425CF8"/>
    <w:rsid w:val="00434368"/>
    <w:rsid w:val="00435F17"/>
    <w:rsid w:val="00450228"/>
    <w:rsid w:val="00450AAF"/>
    <w:rsid w:val="00455D6D"/>
    <w:rsid w:val="004645A5"/>
    <w:rsid w:val="00464DA3"/>
    <w:rsid w:val="00466485"/>
    <w:rsid w:val="00486BF3"/>
    <w:rsid w:val="00490C0E"/>
    <w:rsid w:val="004A7EA4"/>
    <w:rsid w:val="004B4510"/>
    <w:rsid w:val="004C45CE"/>
    <w:rsid w:val="004D2F31"/>
    <w:rsid w:val="004F4670"/>
    <w:rsid w:val="00503FDF"/>
    <w:rsid w:val="005043D0"/>
    <w:rsid w:val="005058E3"/>
    <w:rsid w:val="005102ED"/>
    <w:rsid w:val="00515A96"/>
    <w:rsid w:val="00517EA5"/>
    <w:rsid w:val="00526E7C"/>
    <w:rsid w:val="00540E5C"/>
    <w:rsid w:val="00543017"/>
    <w:rsid w:val="00544D37"/>
    <w:rsid w:val="00546266"/>
    <w:rsid w:val="0055138F"/>
    <w:rsid w:val="005579F7"/>
    <w:rsid w:val="005712C6"/>
    <w:rsid w:val="00571A30"/>
    <w:rsid w:val="00572A98"/>
    <w:rsid w:val="00576120"/>
    <w:rsid w:val="00582A7C"/>
    <w:rsid w:val="005838A4"/>
    <w:rsid w:val="0058444C"/>
    <w:rsid w:val="00591283"/>
    <w:rsid w:val="005943D8"/>
    <w:rsid w:val="0059595E"/>
    <w:rsid w:val="005A6681"/>
    <w:rsid w:val="005B1FF1"/>
    <w:rsid w:val="005B6445"/>
    <w:rsid w:val="005C15F5"/>
    <w:rsid w:val="005C725B"/>
    <w:rsid w:val="005D289F"/>
    <w:rsid w:val="005D3CC1"/>
    <w:rsid w:val="005D62C6"/>
    <w:rsid w:val="005F3391"/>
    <w:rsid w:val="005F5E44"/>
    <w:rsid w:val="00606523"/>
    <w:rsid w:val="00610363"/>
    <w:rsid w:val="006203CB"/>
    <w:rsid w:val="006225EE"/>
    <w:rsid w:val="00634680"/>
    <w:rsid w:val="006445EE"/>
    <w:rsid w:val="00646E92"/>
    <w:rsid w:val="006477E4"/>
    <w:rsid w:val="006538B0"/>
    <w:rsid w:val="006568C0"/>
    <w:rsid w:val="00665C7C"/>
    <w:rsid w:val="00670719"/>
    <w:rsid w:val="00674885"/>
    <w:rsid w:val="00675DE4"/>
    <w:rsid w:val="006848DE"/>
    <w:rsid w:val="00691ED9"/>
    <w:rsid w:val="00692C82"/>
    <w:rsid w:val="00693BD3"/>
    <w:rsid w:val="00695E8D"/>
    <w:rsid w:val="006A0097"/>
    <w:rsid w:val="006B3A0C"/>
    <w:rsid w:val="006B3D21"/>
    <w:rsid w:val="006B5D9F"/>
    <w:rsid w:val="006C37B4"/>
    <w:rsid w:val="006C73FB"/>
    <w:rsid w:val="006D1D7D"/>
    <w:rsid w:val="006D554A"/>
    <w:rsid w:val="006E1B2E"/>
    <w:rsid w:val="006E6FCD"/>
    <w:rsid w:val="006F1D18"/>
    <w:rsid w:val="006F25FB"/>
    <w:rsid w:val="006F79EF"/>
    <w:rsid w:val="007101BA"/>
    <w:rsid w:val="00712F50"/>
    <w:rsid w:val="007145CC"/>
    <w:rsid w:val="007232F8"/>
    <w:rsid w:val="00735235"/>
    <w:rsid w:val="00744C2B"/>
    <w:rsid w:val="0075694C"/>
    <w:rsid w:val="00762134"/>
    <w:rsid w:val="0076414F"/>
    <w:rsid w:val="007659A8"/>
    <w:rsid w:val="00766D12"/>
    <w:rsid w:val="00774D10"/>
    <w:rsid w:val="00776AD1"/>
    <w:rsid w:val="00782818"/>
    <w:rsid w:val="00787D75"/>
    <w:rsid w:val="007A3EB8"/>
    <w:rsid w:val="007B0078"/>
    <w:rsid w:val="007B1F9D"/>
    <w:rsid w:val="007B43FD"/>
    <w:rsid w:val="007B7167"/>
    <w:rsid w:val="007C1932"/>
    <w:rsid w:val="007C2394"/>
    <w:rsid w:val="007C4352"/>
    <w:rsid w:val="007E145C"/>
    <w:rsid w:val="007E5A76"/>
    <w:rsid w:val="007E6533"/>
    <w:rsid w:val="007E7F2F"/>
    <w:rsid w:val="007F4469"/>
    <w:rsid w:val="00803E11"/>
    <w:rsid w:val="0080785B"/>
    <w:rsid w:val="00813DEF"/>
    <w:rsid w:val="0081471B"/>
    <w:rsid w:val="00820FB6"/>
    <w:rsid w:val="00823BB0"/>
    <w:rsid w:val="00832876"/>
    <w:rsid w:val="00835335"/>
    <w:rsid w:val="00836CA9"/>
    <w:rsid w:val="008440E9"/>
    <w:rsid w:val="008555FD"/>
    <w:rsid w:val="00863864"/>
    <w:rsid w:val="00866603"/>
    <w:rsid w:val="008670F9"/>
    <w:rsid w:val="00875C8B"/>
    <w:rsid w:val="0087708D"/>
    <w:rsid w:val="00885E69"/>
    <w:rsid w:val="0088687C"/>
    <w:rsid w:val="00886B83"/>
    <w:rsid w:val="008909C2"/>
    <w:rsid w:val="00891BD1"/>
    <w:rsid w:val="008B068A"/>
    <w:rsid w:val="008B0E01"/>
    <w:rsid w:val="008C313B"/>
    <w:rsid w:val="008D096A"/>
    <w:rsid w:val="008D507B"/>
    <w:rsid w:val="008D68CC"/>
    <w:rsid w:val="008E1936"/>
    <w:rsid w:val="008F4BAD"/>
    <w:rsid w:val="00900461"/>
    <w:rsid w:val="00901618"/>
    <w:rsid w:val="009061F8"/>
    <w:rsid w:val="00913482"/>
    <w:rsid w:val="00917B68"/>
    <w:rsid w:val="0092591D"/>
    <w:rsid w:val="00937EB5"/>
    <w:rsid w:val="00943E6B"/>
    <w:rsid w:val="009516B8"/>
    <w:rsid w:val="00964F94"/>
    <w:rsid w:val="00970E5D"/>
    <w:rsid w:val="00971F9B"/>
    <w:rsid w:val="0097263B"/>
    <w:rsid w:val="009733D6"/>
    <w:rsid w:val="00985037"/>
    <w:rsid w:val="009856AD"/>
    <w:rsid w:val="00992AC2"/>
    <w:rsid w:val="009965A3"/>
    <w:rsid w:val="00997D68"/>
    <w:rsid w:val="009A0F13"/>
    <w:rsid w:val="009A2544"/>
    <w:rsid w:val="009A7CC5"/>
    <w:rsid w:val="009B45F8"/>
    <w:rsid w:val="009B59B7"/>
    <w:rsid w:val="009C74A5"/>
    <w:rsid w:val="009C763C"/>
    <w:rsid w:val="009D0D49"/>
    <w:rsid w:val="009D44D5"/>
    <w:rsid w:val="009D7E1C"/>
    <w:rsid w:val="009E501F"/>
    <w:rsid w:val="009E7D88"/>
    <w:rsid w:val="009F3837"/>
    <w:rsid w:val="00A03E7A"/>
    <w:rsid w:val="00A07226"/>
    <w:rsid w:val="00A147F5"/>
    <w:rsid w:val="00A2278A"/>
    <w:rsid w:val="00A32604"/>
    <w:rsid w:val="00A42792"/>
    <w:rsid w:val="00A45CE3"/>
    <w:rsid w:val="00A46CC9"/>
    <w:rsid w:val="00A61EA9"/>
    <w:rsid w:val="00A67E5D"/>
    <w:rsid w:val="00A70ECB"/>
    <w:rsid w:val="00A71FCA"/>
    <w:rsid w:val="00A724D7"/>
    <w:rsid w:val="00A779EF"/>
    <w:rsid w:val="00A80038"/>
    <w:rsid w:val="00A80FA3"/>
    <w:rsid w:val="00A932CE"/>
    <w:rsid w:val="00A93B32"/>
    <w:rsid w:val="00AA056F"/>
    <w:rsid w:val="00AA18E8"/>
    <w:rsid w:val="00AA637C"/>
    <w:rsid w:val="00AC1E83"/>
    <w:rsid w:val="00AC330F"/>
    <w:rsid w:val="00AE17AF"/>
    <w:rsid w:val="00AE5DD7"/>
    <w:rsid w:val="00AE78AF"/>
    <w:rsid w:val="00AE79DA"/>
    <w:rsid w:val="00B04841"/>
    <w:rsid w:val="00B078E9"/>
    <w:rsid w:val="00B1475E"/>
    <w:rsid w:val="00B22383"/>
    <w:rsid w:val="00B24926"/>
    <w:rsid w:val="00B552C0"/>
    <w:rsid w:val="00B62052"/>
    <w:rsid w:val="00B643D1"/>
    <w:rsid w:val="00B6504A"/>
    <w:rsid w:val="00B6645F"/>
    <w:rsid w:val="00B66B32"/>
    <w:rsid w:val="00B75296"/>
    <w:rsid w:val="00B94802"/>
    <w:rsid w:val="00BA4870"/>
    <w:rsid w:val="00BD23B4"/>
    <w:rsid w:val="00BD49F1"/>
    <w:rsid w:val="00BF6737"/>
    <w:rsid w:val="00C012EC"/>
    <w:rsid w:val="00C14BFD"/>
    <w:rsid w:val="00C153FF"/>
    <w:rsid w:val="00C1786A"/>
    <w:rsid w:val="00C225F0"/>
    <w:rsid w:val="00C227D4"/>
    <w:rsid w:val="00C2544D"/>
    <w:rsid w:val="00C258B6"/>
    <w:rsid w:val="00C36FC9"/>
    <w:rsid w:val="00C441BF"/>
    <w:rsid w:val="00C4598B"/>
    <w:rsid w:val="00C46C6C"/>
    <w:rsid w:val="00C52372"/>
    <w:rsid w:val="00C65B90"/>
    <w:rsid w:val="00C74A70"/>
    <w:rsid w:val="00C74AEE"/>
    <w:rsid w:val="00C77E56"/>
    <w:rsid w:val="00C94D76"/>
    <w:rsid w:val="00CA1871"/>
    <w:rsid w:val="00CA3951"/>
    <w:rsid w:val="00CB3A2C"/>
    <w:rsid w:val="00CC006C"/>
    <w:rsid w:val="00CD6B16"/>
    <w:rsid w:val="00CE4374"/>
    <w:rsid w:val="00CF09D8"/>
    <w:rsid w:val="00D00044"/>
    <w:rsid w:val="00D003BC"/>
    <w:rsid w:val="00D04121"/>
    <w:rsid w:val="00D05DF3"/>
    <w:rsid w:val="00D06AFA"/>
    <w:rsid w:val="00D13770"/>
    <w:rsid w:val="00D141F5"/>
    <w:rsid w:val="00D14515"/>
    <w:rsid w:val="00D14FD4"/>
    <w:rsid w:val="00D15AC9"/>
    <w:rsid w:val="00D15BD2"/>
    <w:rsid w:val="00D2531E"/>
    <w:rsid w:val="00D25C96"/>
    <w:rsid w:val="00D2759D"/>
    <w:rsid w:val="00D35B62"/>
    <w:rsid w:val="00D35FB5"/>
    <w:rsid w:val="00D372BB"/>
    <w:rsid w:val="00D37898"/>
    <w:rsid w:val="00D51C92"/>
    <w:rsid w:val="00D615B6"/>
    <w:rsid w:val="00D73C8B"/>
    <w:rsid w:val="00D802DB"/>
    <w:rsid w:val="00D82A8E"/>
    <w:rsid w:val="00D82E16"/>
    <w:rsid w:val="00D857F3"/>
    <w:rsid w:val="00D90F21"/>
    <w:rsid w:val="00D934F6"/>
    <w:rsid w:val="00D95B2F"/>
    <w:rsid w:val="00DA369C"/>
    <w:rsid w:val="00DB071B"/>
    <w:rsid w:val="00DB1DA9"/>
    <w:rsid w:val="00DB2B74"/>
    <w:rsid w:val="00DB5050"/>
    <w:rsid w:val="00DB5E75"/>
    <w:rsid w:val="00DB6129"/>
    <w:rsid w:val="00DC1C89"/>
    <w:rsid w:val="00DC4E89"/>
    <w:rsid w:val="00DD6406"/>
    <w:rsid w:val="00DE1DE3"/>
    <w:rsid w:val="00DF38B5"/>
    <w:rsid w:val="00E00610"/>
    <w:rsid w:val="00E0474A"/>
    <w:rsid w:val="00E11FF9"/>
    <w:rsid w:val="00E261CB"/>
    <w:rsid w:val="00E31C68"/>
    <w:rsid w:val="00E43F87"/>
    <w:rsid w:val="00E45DF4"/>
    <w:rsid w:val="00E54F78"/>
    <w:rsid w:val="00E6143B"/>
    <w:rsid w:val="00E61552"/>
    <w:rsid w:val="00E67B27"/>
    <w:rsid w:val="00E8138A"/>
    <w:rsid w:val="00E846CE"/>
    <w:rsid w:val="00E86687"/>
    <w:rsid w:val="00E90171"/>
    <w:rsid w:val="00EA1130"/>
    <w:rsid w:val="00EA27F7"/>
    <w:rsid w:val="00EA480E"/>
    <w:rsid w:val="00EA6B01"/>
    <w:rsid w:val="00EC0197"/>
    <w:rsid w:val="00EC5BC8"/>
    <w:rsid w:val="00EC6E38"/>
    <w:rsid w:val="00EC7216"/>
    <w:rsid w:val="00EC7ED0"/>
    <w:rsid w:val="00ED2463"/>
    <w:rsid w:val="00ED56C3"/>
    <w:rsid w:val="00EE13D4"/>
    <w:rsid w:val="00EE1EE1"/>
    <w:rsid w:val="00F006A9"/>
    <w:rsid w:val="00F025F7"/>
    <w:rsid w:val="00F031FB"/>
    <w:rsid w:val="00F1027A"/>
    <w:rsid w:val="00F10545"/>
    <w:rsid w:val="00F15A79"/>
    <w:rsid w:val="00F1633E"/>
    <w:rsid w:val="00F24509"/>
    <w:rsid w:val="00F30228"/>
    <w:rsid w:val="00F30680"/>
    <w:rsid w:val="00F32E77"/>
    <w:rsid w:val="00F47A03"/>
    <w:rsid w:val="00F515A7"/>
    <w:rsid w:val="00F51B66"/>
    <w:rsid w:val="00F55306"/>
    <w:rsid w:val="00F55C82"/>
    <w:rsid w:val="00F57EBA"/>
    <w:rsid w:val="00F605A2"/>
    <w:rsid w:val="00F61B40"/>
    <w:rsid w:val="00F721E9"/>
    <w:rsid w:val="00F74C63"/>
    <w:rsid w:val="00FA024D"/>
    <w:rsid w:val="00FA34E3"/>
    <w:rsid w:val="00FB12D3"/>
    <w:rsid w:val="00FB4635"/>
    <w:rsid w:val="00FC5A4F"/>
    <w:rsid w:val="00FD046E"/>
    <w:rsid w:val="00FD4EB6"/>
    <w:rsid w:val="00FF01D7"/>
    <w:rsid w:val="00FF06D4"/>
    <w:rsid w:val="00FF6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06A8"/>
  <w15:docId w15:val="{85B52A10-F87F-8A4C-93AC-6C1FF081E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068A"/>
    <w:pPr>
      <w:spacing w:after="0" w:line="480" w:lineRule="auto"/>
    </w:pPr>
    <w:rPr>
      <w:rFonts w:ascii="Times New Roman" w:eastAsia="Times New Roman" w:hAnsi="Times New Roman" w:cs="Times New Roman"/>
      <w:sz w:val="24"/>
      <w:szCs w:val="24"/>
      <w:lang w:bidi="en-US"/>
    </w:rPr>
  </w:style>
  <w:style w:type="paragraph" w:styleId="Heading1">
    <w:name w:val="heading 1"/>
    <w:next w:val="Normal"/>
    <w:link w:val="Heading1Char"/>
    <w:autoRedefine/>
    <w:uiPriority w:val="9"/>
    <w:qFormat/>
    <w:rsid w:val="00E67B27"/>
    <w:pPr>
      <w:numPr>
        <w:numId w:val="2"/>
      </w:numPr>
      <w:spacing w:after="0" w:line="480" w:lineRule="auto"/>
      <w:ind w:left="0"/>
      <w:outlineLvl w:val="0"/>
    </w:pPr>
    <w:rPr>
      <w:rFonts w:ascii="Times New Roman" w:eastAsia="Times New Roman" w:hAnsi="Times New Roman" w:cs="Times New Roman"/>
      <w:b/>
      <w:bCs/>
      <w:sz w:val="28"/>
      <w:szCs w:val="32"/>
      <w:lang w:bidi="en-US"/>
    </w:rPr>
  </w:style>
  <w:style w:type="paragraph" w:styleId="Heading2">
    <w:name w:val="heading 2"/>
    <w:basedOn w:val="Normal"/>
    <w:next w:val="Normal"/>
    <w:link w:val="Heading2Char"/>
    <w:uiPriority w:val="9"/>
    <w:unhideWhenUsed/>
    <w:qFormat/>
    <w:rsid w:val="001C55E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B27"/>
    <w:rPr>
      <w:rFonts w:ascii="Times New Roman" w:eastAsia="Times New Roman" w:hAnsi="Times New Roman" w:cs="Times New Roman"/>
      <w:b/>
      <w:bCs/>
      <w:sz w:val="28"/>
      <w:szCs w:val="32"/>
      <w:lang w:bidi="en-US"/>
    </w:rPr>
  </w:style>
  <w:style w:type="paragraph" w:styleId="Caption">
    <w:name w:val="caption"/>
    <w:basedOn w:val="Normal"/>
    <w:next w:val="Normal"/>
    <w:uiPriority w:val="35"/>
    <w:unhideWhenUsed/>
    <w:rsid w:val="007B43FD"/>
    <w:pPr>
      <w:spacing w:line="240" w:lineRule="auto"/>
    </w:pPr>
    <w:rPr>
      <w:bCs/>
      <w:szCs w:val="18"/>
    </w:rPr>
  </w:style>
  <w:style w:type="paragraph" w:styleId="Footer">
    <w:name w:val="footer"/>
    <w:basedOn w:val="Normal"/>
    <w:link w:val="FooterChar"/>
    <w:uiPriority w:val="99"/>
    <w:unhideWhenUsed/>
    <w:rsid w:val="007B43FD"/>
    <w:pPr>
      <w:tabs>
        <w:tab w:val="center" w:pos="4680"/>
        <w:tab w:val="right" w:pos="9360"/>
      </w:tabs>
    </w:pPr>
  </w:style>
  <w:style w:type="character" w:customStyle="1" w:styleId="FooterChar">
    <w:name w:val="Footer Char"/>
    <w:basedOn w:val="DefaultParagraphFont"/>
    <w:link w:val="Footer"/>
    <w:uiPriority w:val="99"/>
    <w:rsid w:val="007B43FD"/>
    <w:rPr>
      <w:rFonts w:eastAsia="Times New Roman" w:cs="Times New Roman"/>
      <w:sz w:val="24"/>
      <w:szCs w:val="24"/>
      <w:lang w:bidi="en-US"/>
    </w:rPr>
  </w:style>
  <w:style w:type="character" w:styleId="Hyperlink">
    <w:name w:val="Hyperlink"/>
    <w:basedOn w:val="DefaultParagraphFont"/>
    <w:uiPriority w:val="99"/>
    <w:unhideWhenUsed/>
    <w:rsid w:val="007B43FD"/>
    <w:rPr>
      <w:color w:val="0000FF"/>
      <w:u w:val="single"/>
    </w:rPr>
  </w:style>
  <w:style w:type="table" w:styleId="TableGrid">
    <w:name w:val="Table Grid"/>
    <w:basedOn w:val="TableNormal"/>
    <w:uiPriority w:val="59"/>
    <w:rsid w:val="007B43F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rsid w:val="007B43FD"/>
    <w:pPr>
      <w:ind w:left="720"/>
      <w:contextualSpacing/>
    </w:pPr>
  </w:style>
  <w:style w:type="numbering" w:customStyle="1" w:styleId="Headings">
    <w:name w:val="Headings"/>
    <w:uiPriority w:val="99"/>
    <w:rsid w:val="007B43FD"/>
    <w:pPr>
      <w:numPr>
        <w:numId w:val="1"/>
      </w:numPr>
    </w:pPr>
  </w:style>
  <w:style w:type="character" w:styleId="LineNumber">
    <w:name w:val="line number"/>
    <w:basedOn w:val="DefaultParagraphFont"/>
    <w:uiPriority w:val="99"/>
    <w:semiHidden/>
    <w:unhideWhenUsed/>
    <w:rsid w:val="007B43FD"/>
  </w:style>
  <w:style w:type="paragraph" w:styleId="BalloonText">
    <w:name w:val="Balloon Text"/>
    <w:basedOn w:val="Normal"/>
    <w:link w:val="BalloonTextChar"/>
    <w:uiPriority w:val="99"/>
    <w:semiHidden/>
    <w:unhideWhenUsed/>
    <w:rsid w:val="007B4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3FD"/>
    <w:rPr>
      <w:rFonts w:ascii="Tahoma" w:eastAsia="Times New Roman" w:hAnsi="Tahoma" w:cs="Tahoma"/>
      <w:sz w:val="16"/>
      <w:szCs w:val="16"/>
      <w:lang w:bidi="en-US"/>
    </w:rPr>
  </w:style>
  <w:style w:type="character" w:styleId="CommentReference">
    <w:name w:val="annotation reference"/>
    <w:basedOn w:val="DefaultParagraphFont"/>
    <w:uiPriority w:val="99"/>
    <w:semiHidden/>
    <w:unhideWhenUsed/>
    <w:rsid w:val="00424CA5"/>
    <w:rPr>
      <w:sz w:val="16"/>
      <w:szCs w:val="16"/>
    </w:rPr>
  </w:style>
  <w:style w:type="paragraph" w:styleId="CommentText">
    <w:name w:val="annotation text"/>
    <w:basedOn w:val="Normal"/>
    <w:link w:val="CommentTextChar"/>
    <w:uiPriority w:val="99"/>
    <w:semiHidden/>
    <w:unhideWhenUsed/>
    <w:rsid w:val="00424CA5"/>
    <w:pPr>
      <w:spacing w:line="240" w:lineRule="auto"/>
    </w:pPr>
    <w:rPr>
      <w:sz w:val="20"/>
      <w:szCs w:val="20"/>
    </w:rPr>
  </w:style>
  <w:style w:type="character" w:customStyle="1" w:styleId="CommentTextChar">
    <w:name w:val="Comment Text Char"/>
    <w:basedOn w:val="DefaultParagraphFont"/>
    <w:link w:val="CommentText"/>
    <w:uiPriority w:val="99"/>
    <w:semiHidden/>
    <w:rsid w:val="00424CA5"/>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424CA5"/>
    <w:rPr>
      <w:b/>
      <w:bCs/>
    </w:rPr>
  </w:style>
  <w:style w:type="character" w:customStyle="1" w:styleId="CommentSubjectChar">
    <w:name w:val="Comment Subject Char"/>
    <w:basedOn w:val="CommentTextChar"/>
    <w:link w:val="CommentSubject"/>
    <w:uiPriority w:val="99"/>
    <w:semiHidden/>
    <w:rsid w:val="00424CA5"/>
    <w:rPr>
      <w:rFonts w:ascii="Times New Roman" w:eastAsia="Times New Roman" w:hAnsi="Times New Roman" w:cs="Times New Roman"/>
      <w:b/>
      <w:bCs/>
      <w:sz w:val="20"/>
      <w:szCs w:val="20"/>
      <w:lang w:bidi="en-US"/>
    </w:rPr>
  </w:style>
  <w:style w:type="character" w:styleId="UnresolvedMention">
    <w:name w:val="Unresolved Mention"/>
    <w:basedOn w:val="DefaultParagraphFont"/>
    <w:uiPriority w:val="99"/>
    <w:semiHidden/>
    <w:unhideWhenUsed/>
    <w:rsid w:val="007B1F9D"/>
    <w:rPr>
      <w:color w:val="605E5C"/>
      <w:shd w:val="clear" w:color="auto" w:fill="E1DFDD"/>
    </w:rPr>
  </w:style>
  <w:style w:type="character" w:styleId="FollowedHyperlink">
    <w:name w:val="FollowedHyperlink"/>
    <w:basedOn w:val="DefaultParagraphFont"/>
    <w:uiPriority w:val="99"/>
    <w:semiHidden/>
    <w:unhideWhenUsed/>
    <w:rsid w:val="007B1F9D"/>
    <w:rPr>
      <w:color w:val="800080" w:themeColor="followedHyperlink"/>
      <w:u w:val="single"/>
    </w:rPr>
  </w:style>
  <w:style w:type="character" w:customStyle="1" w:styleId="nlmstring-name">
    <w:name w:val="nlm_string-name"/>
    <w:basedOn w:val="DefaultParagraphFont"/>
    <w:rsid w:val="006A0097"/>
  </w:style>
  <w:style w:type="character" w:customStyle="1" w:styleId="nlmgiven-names">
    <w:name w:val="nlm_given-names"/>
    <w:basedOn w:val="DefaultParagraphFont"/>
    <w:rsid w:val="006A0097"/>
  </w:style>
  <w:style w:type="character" w:customStyle="1" w:styleId="nlmyear">
    <w:name w:val="nlm_year"/>
    <w:basedOn w:val="DefaultParagraphFont"/>
    <w:rsid w:val="006A0097"/>
  </w:style>
  <w:style w:type="character" w:customStyle="1" w:styleId="nlmarticle-title">
    <w:name w:val="nlm_article-title"/>
    <w:basedOn w:val="DefaultParagraphFont"/>
    <w:rsid w:val="006A0097"/>
  </w:style>
  <w:style w:type="character" w:customStyle="1" w:styleId="artauthors">
    <w:name w:val="art_authors"/>
    <w:basedOn w:val="DefaultParagraphFont"/>
    <w:rsid w:val="006A0097"/>
  </w:style>
  <w:style w:type="character" w:customStyle="1" w:styleId="year">
    <w:name w:val="year"/>
    <w:basedOn w:val="DefaultParagraphFont"/>
    <w:rsid w:val="006A0097"/>
  </w:style>
  <w:style w:type="character" w:customStyle="1" w:styleId="journalname">
    <w:name w:val="journalname"/>
    <w:basedOn w:val="DefaultParagraphFont"/>
    <w:rsid w:val="006A0097"/>
  </w:style>
  <w:style w:type="character" w:customStyle="1" w:styleId="volume">
    <w:name w:val="volume"/>
    <w:basedOn w:val="DefaultParagraphFont"/>
    <w:rsid w:val="006A0097"/>
  </w:style>
  <w:style w:type="character" w:customStyle="1" w:styleId="page">
    <w:name w:val="page"/>
    <w:basedOn w:val="DefaultParagraphFont"/>
    <w:rsid w:val="006A0097"/>
  </w:style>
  <w:style w:type="character" w:customStyle="1" w:styleId="doi">
    <w:name w:val="doi"/>
    <w:basedOn w:val="DefaultParagraphFont"/>
    <w:rsid w:val="006A0097"/>
  </w:style>
  <w:style w:type="character" w:customStyle="1" w:styleId="Heading2Char">
    <w:name w:val="Heading 2 Char"/>
    <w:basedOn w:val="DefaultParagraphFont"/>
    <w:link w:val="Heading2"/>
    <w:uiPriority w:val="9"/>
    <w:rsid w:val="001C55E1"/>
    <w:rPr>
      <w:rFonts w:asciiTheme="majorHAnsi" w:eastAsiaTheme="majorEastAsia" w:hAnsiTheme="majorHAnsi" w:cstheme="majorBidi"/>
      <w:color w:val="365F91" w:themeColor="accent1" w:themeShade="BF"/>
      <w:sz w:val="26"/>
      <w:szCs w:val="26"/>
      <w:lang w:bidi="en-US"/>
    </w:rPr>
  </w:style>
  <w:style w:type="character" w:styleId="PlaceholderText">
    <w:name w:val="Placeholder Text"/>
    <w:basedOn w:val="DefaultParagraphFont"/>
    <w:uiPriority w:val="99"/>
    <w:semiHidden/>
    <w:rsid w:val="00DB1D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62715">
      <w:bodyDiv w:val="1"/>
      <w:marLeft w:val="0"/>
      <w:marRight w:val="0"/>
      <w:marTop w:val="0"/>
      <w:marBottom w:val="0"/>
      <w:divBdr>
        <w:top w:val="none" w:sz="0" w:space="0" w:color="auto"/>
        <w:left w:val="none" w:sz="0" w:space="0" w:color="auto"/>
        <w:bottom w:val="none" w:sz="0" w:space="0" w:color="auto"/>
        <w:right w:val="none" w:sz="0" w:space="0" w:color="auto"/>
      </w:divBdr>
    </w:div>
    <w:div w:id="261887473">
      <w:bodyDiv w:val="1"/>
      <w:marLeft w:val="0"/>
      <w:marRight w:val="0"/>
      <w:marTop w:val="0"/>
      <w:marBottom w:val="0"/>
      <w:divBdr>
        <w:top w:val="none" w:sz="0" w:space="0" w:color="auto"/>
        <w:left w:val="none" w:sz="0" w:space="0" w:color="auto"/>
        <w:bottom w:val="none" w:sz="0" w:space="0" w:color="auto"/>
        <w:right w:val="none" w:sz="0" w:space="0" w:color="auto"/>
      </w:divBdr>
    </w:div>
    <w:div w:id="447893883">
      <w:bodyDiv w:val="1"/>
      <w:marLeft w:val="0"/>
      <w:marRight w:val="0"/>
      <w:marTop w:val="0"/>
      <w:marBottom w:val="0"/>
      <w:divBdr>
        <w:top w:val="none" w:sz="0" w:space="0" w:color="auto"/>
        <w:left w:val="none" w:sz="0" w:space="0" w:color="auto"/>
        <w:bottom w:val="none" w:sz="0" w:space="0" w:color="auto"/>
        <w:right w:val="none" w:sz="0" w:space="0" w:color="auto"/>
      </w:divBdr>
    </w:div>
    <w:div w:id="628512895">
      <w:bodyDiv w:val="1"/>
      <w:marLeft w:val="0"/>
      <w:marRight w:val="0"/>
      <w:marTop w:val="0"/>
      <w:marBottom w:val="0"/>
      <w:divBdr>
        <w:top w:val="none" w:sz="0" w:space="0" w:color="auto"/>
        <w:left w:val="none" w:sz="0" w:space="0" w:color="auto"/>
        <w:bottom w:val="none" w:sz="0" w:space="0" w:color="auto"/>
        <w:right w:val="none" w:sz="0" w:space="0" w:color="auto"/>
      </w:divBdr>
    </w:div>
    <w:div w:id="811948971">
      <w:bodyDiv w:val="1"/>
      <w:marLeft w:val="0"/>
      <w:marRight w:val="0"/>
      <w:marTop w:val="0"/>
      <w:marBottom w:val="0"/>
      <w:divBdr>
        <w:top w:val="none" w:sz="0" w:space="0" w:color="auto"/>
        <w:left w:val="none" w:sz="0" w:space="0" w:color="auto"/>
        <w:bottom w:val="none" w:sz="0" w:space="0" w:color="auto"/>
        <w:right w:val="none" w:sz="0" w:space="0" w:color="auto"/>
      </w:divBdr>
    </w:div>
    <w:div w:id="1050112023">
      <w:bodyDiv w:val="1"/>
      <w:marLeft w:val="0"/>
      <w:marRight w:val="0"/>
      <w:marTop w:val="0"/>
      <w:marBottom w:val="0"/>
      <w:divBdr>
        <w:top w:val="none" w:sz="0" w:space="0" w:color="auto"/>
        <w:left w:val="none" w:sz="0" w:space="0" w:color="auto"/>
        <w:bottom w:val="none" w:sz="0" w:space="0" w:color="auto"/>
        <w:right w:val="none" w:sz="0" w:space="0" w:color="auto"/>
      </w:divBdr>
    </w:div>
    <w:div w:id="1358190511">
      <w:bodyDiv w:val="1"/>
      <w:marLeft w:val="0"/>
      <w:marRight w:val="0"/>
      <w:marTop w:val="0"/>
      <w:marBottom w:val="0"/>
      <w:divBdr>
        <w:top w:val="none" w:sz="0" w:space="0" w:color="auto"/>
        <w:left w:val="none" w:sz="0" w:space="0" w:color="auto"/>
        <w:bottom w:val="none" w:sz="0" w:space="0" w:color="auto"/>
        <w:right w:val="none" w:sz="0" w:space="0" w:color="auto"/>
      </w:divBdr>
    </w:div>
    <w:div w:id="1390424633">
      <w:bodyDiv w:val="1"/>
      <w:marLeft w:val="0"/>
      <w:marRight w:val="0"/>
      <w:marTop w:val="0"/>
      <w:marBottom w:val="0"/>
      <w:divBdr>
        <w:top w:val="none" w:sz="0" w:space="0" w:color="auto"/>
        <w:left w:val="none" w:sz="0" w:space="0" w:color="auto"/>
        <w:bottom w:val="none" w:sz="0" w:space="0" w:color="auto"/>
        <w:right w:val="none" w:sz="0" w:space="0" w:color="auto"/>
      </w:divBdr>
    </w:div>
    <w:div w:id="1455513660">
      <w:bodyDiv w:val="1"/>
      <w:marLeft w:val="0"/>
      <w:marRight w:val="0"/>
      <w:marTop w:val="0"/>
      <w:marBottom w:val="0"/>
      <w:divBdr>
        <w:top w:val="none" w:sz="0" w:space="0" w:color="auto"/>
        <w:left w:val="none" w:sz="0" w:space="0" w:color="auto"/>
        <w:bottom w:val="none" w:sz="0" w:space="0" w:color="auto"/>
        <w:right w:val="none" w:sz="0" w:space="0" w:color="auto"/>
      </w:divBdr>
    </w:div>
    <w:div w:id="1560631926">
      <w:bodyDiv w:val="1"/>
      <w:marLeft w:val="0"/>
      <w:marRight w:val="0"/>
      <w:marTop w:val="0"/>
      <w:marBottom w:val="0"/>
      <w:divBdr>
        <w:top w:val="none" w:sz="0" w:space="0" w:color="auto"/>
        <w:left w:val="none" w:sz="0" w:space="0" w:color="auto"/>
        <w:bottom w:val="none" w:sz="0" w:space="0" w:color="auto"/>
        <w:right w:val="none" w:sz="0" w:space="0" w:color="auto"/>
      </w:divBdr>
    </w:div>
    <w:div w:id="1652490246">
      <w:bodyDiv w:val="1"/>
      <w:marLeft w:val="0"/>
      <w:marRight w:val="0"/>
      <w:marTop w:val="0"/>
      <w:marBottom w:val="0"/>
      <w:divBdr>
        <w:top w:val="none" w:sz="0" w:space="0" w:color="auto"/>
        <w:left w:val="none" w:sz="0" w:space="0" w:color="auto"/>
        <w:bottom w:val="none" w:sz="0" w:space="0" w:color="auto"/>
        <w:right w:val="none" w:sz="0" w:space="0" w:color="auto"/>
      </w:divBdr>
      <w:divsChild>
        <w:div w:id="1448432271">
          <w:marLeft w:val="0"/>
          <w:marRight w:val="0"/>
          <w:marTop w:val="0"/>
          <w:marBottom w:val="0"/>
          <w:divBdr>
            <w:top w:val="none" w:sz="0" w:space="0" w:color="auto"/>
            <w:left w:val="none" w:sz="0" w:space="0" w:color="auto"/>
            <w:bottom w:val="none" w:sz="0" w:space="0" w:color="auto"/>
            <w:right w:val="none" w:sz="0" w:space="0" w:color="auto"/>
          </w:divBdr>
          <w:divsChild>
            <w:div w:id="1039890563">
              <w:marLeft w:val="0"/>
              <w:marRight w:val="0"/>
              <w:marTop w:val="0"/>
              <w:marBottom w:val="0"/>
              <w:divBdr>
                <w:top w:val="none" w:sz="0" w:space="0" w:color="auto"/>
                <w:left w:val="none" w:sz="0" w:space="0" w:color="auto"/>
                <w:bottom w:val="none" w:sz="0" w:space="0" w:color="auto"/>
                <w:right w:val="none" w:sz="0" w:space="0" w:color="auto"/>
              </w:divBdr>
              <w:divsChild>
                <w:div w:id="10428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61036">
      <w:bodyDiv w:val="1"/>
      <w:marLeft w:val="0"/>
      <w:marRight w:val="0"/>
      <w:marTop w:val="0"/>
      <w:marBottom w:val="0"/>
      <w:divBdr>
        <w:top w:val="none" w:sz="0" w:space="0" w:color="auto"/>
        <w:left w:val="none" w:sz="0" w:space="0" w:color="auto"/>
        <w:bottom w:val="none" w:sz="0" w:space="0" w:color="auto"/>
        <w:right w:val="none" w:sz="0" w:space="0" w:color="auto"/>
      </w:divBdr>
    </w:div>
    <w:div w:id="1756438783">
      <w:bodyDiv w:val="1"/>
      <w:marLeft w:val="0"/>
      <w:marRight w:val="0"/>
      <w:marTop w:val="0"/>
      <w:marBottom w:val="0"/>
      <w:divBdr>
        <w:top w:val="none" w:sz="0" w:space="0" w:color="auto"/>
        <w:left w:val="none" w:sz="0" w:space="0" w:color="auto"/>
        <w:bottom w:val="none" w:sz="0" w:space="0" w:color="auto"/>
        <w:right w:val="none" w:sz="0" w:space="0" w:color="auto"/>
      </w:divBdr>
    </w:div>
    <w:div w:id="1811367020">
      <w:bodyDiv w:val="1"/>
      <w:marLeft w:val="0"/>
      <w:marRight w:val="0"/>
      <w:marTop w:val="0"/>
      <w:marBottom w:val="0"/>
      <w:divBdr>
        <w:top w:val="none" w:sz="0" w:space="0" w:color="auto"/>
        <w:left w:val="none" w:sz="0" w:space="0" w:color="auto"/>
        <w:bottom w:val="none" w:sz="0" w:space="0" w:color="auto"/>
        <w:right w:val="none" w:sz="0" w:space="0" w:color="auto"/>
      </w:divBdr>
    </w:div>
    <w:div w:id="2094621935">
      <w:bodyDiv w:val="1"/>
      <w:marLeft w:val="0"/>
      <w:marRight w:val="0"/>
      <w:marTop w:val="0"/>
      <w:marBottom w:val="0"/>
      <w:divBdr>
        <w:top w:val="none" w:sz="0" w:space="0" w:color="auto"/>
        <w:left w:val="none" w:sz="0" w:space="0" w:color="auto"/>
        <w:bottom w:val="none" w:sz="0" w:space="0" w:color="auto"/>
        <w:right w:val="none" w:sz="0" w:space="0" w:color="auto"/>
      </w:divBdr>
    </w:div>
    <w:div w:id="213262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75/WCAS-D-18-0001.1" TargetMode="External"/><Relationship Id="rId18" Type="http://schemas.openxmlformats.org/officeDocument/2006/relationships/hyperlink" Target="https://doi.org/10.1007/s11069-015-1990-5" TargetMode="External"/><Relationship Id="rId26" Type="http://schemas.openxmlformats.org/officeDocument/2006/relationships/hyperlink" Target="http://risk.ou.edu/downloads/news/WX18-Reference-Report.pdf" TargetMode="External"/><Relationship Id="rId3" Type="http://schemas.openxmlformats.org/officeDocument/2006/relationships/styles" Target="styles.xml"/><Relationship Id="rId21" Type="http://schemas.openxmlformats.org/officeDocument/2006/relationships/hyperlink" Target="https://www.performance.noaa.gov/wp-content/uploads/SSVS_Final_073115.pdf" TargetMode="External"/><Relationship Id="rId7" Type="http://schemas.openxmlformats.org/officeDocument/2006/relationships/endnotes" Target="endnotes.xml"/><Relationship Id="rId12" Type="http://schemas.openxmlformats.org/officeDocument/2006/relationships/hyperlink" Target="https://ams.confex.com/ams/pdfpapers/47592.pdf" TargetMode="External"/><Relationship Id="rId17" Type="http://schemas.openxmlformats.org/officeDocument/2006/relationships/hyperlink" Target="https://link.springer.com/article/10.1007/s11069-015-1990-5" TargetMode="External"/><Relationship Id="rId25" Type="http://schemas.openxmlformats.org/officeDocument/2006/relationships/hyperlink" Target="https://doi.org/10.1175/2010WCAS1067.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ms.confex.com/ams/97Annual/webprogram/Paper308117.html" TargetMode="External"/><Relationship Id="rId20" Type="http://schemas.openxmlformats.org/officeDocument/2006/relationships/hyperlink" Target="https://doi.org/10.17226/24865"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encepolicy.colorado.edu/zine/archives/1-29/17/editorial.html" TargetMode="External"/><Relationship Id="rId24" Type="http://schemas.openxmlformats.org/officeDocument/2006/relationships/hyperlink" Target="https://doi.org/10.1175/BAMS-D-16-0100.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75/2011WCAS1076.1" TargetMode="External"/><Relationship Id="rId23" Type="http://schemas.openxmlformats.org/officeDocument/2006/relationships/hyperlink" Target="https://doi-org.ezproxy.lib.ou.edu/10.1175/BAMS-D-13-00213.1" TargetMode="External"/><Relationship Id="rId28" Type="http://schemas.openxmlformats.org/officeDocument/2006/relationships/image" Target="media/image2.png"/><Relationship Id="rId10" Type="http://schemas.openxmlformats.org/officeDocument/2006/relationships/hyperlink" Target="https://doi-org.ezproxy.lib.ou.edu/10.1016/j.ijdrr.2018.01.036" TargetMode="External"/><Relationship Id="rId19" Type="http://schemas.openxmlformats.org/officeDocument/2006/relationships/hyperlink" Target="https://doi.org/10.1177/1541931215591387"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175/WCAS-D-15-0044.1" TargetMode="External"/><Relationship Id="rId14" Type="http://schemas.openxmlformats.org/officeDocument/2006/relationships/hyperlink" Target="http://citeseerx.ist.psu.edu/viewdoc/download?doi=10.1.1.666.8989&amp;rep=rep1&amp;type=pdf" TargetMode="External"/><Relationship Id="rId22" Type="http://schemas.openxmlformats.org/officeDocument/2006/relationships/hyperlink" Target="https://www.nws.noaa.gov/mission.php" TargetMode="External"/><Relationship Id="rId27" Type="http://schemas.openxmlformats.org/officeDocument/2006/relationships/image" Target="media/image1.png"/><Relationship Id="rId30" Type="http://schemas.openxmlformats.org/officeDocument/2006/relationships/image" Target="media/image4.png"/><Relationship Id="rId8" Type="http://schemas.openxmlformats.org/officeDocument/2006/relationships/hyperlink" Target="mailto:mjkrocak@o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2573A-B046-DE4A-8097-6C19B1730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25</Pages>
  <Words>5610</Words>
  <Characters>31978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Makenzie Krocak</dc:creator>
  <cp:lastModifiedBy>Microsoft Office User</cp:lastModifiedBy>
  <cp:revision>9</cp:revision>
  <cp:lastPrinted>2017-08-25T12:33:00Z</cp:lastPrinted>
  <dcterms:created xsi:type="dcterms:W3CDTF">2019-07-23T15:58:00Z</dcterms:created>
  <dcterms:modified xsi:type="dcterms:W3CDTF">2019-07-24T16:43:00Z</dcterms:modified>
</cp:coreProperties>
</file>