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5 — Market linkage: the channels, and what "one tap" actually means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Q5.1 — "One tap to Amazon, Flipkart, Meesho, GeM and ONDC. Which of those have you actually published a listing to?"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One. Say "one" first. Then give the tier table, because the tiering is the answer and it is stronger than the claim it replaces.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One — our own marketplace. Everything else is mapped, rendered or connected, and I will tell you exactly which is which.</w:t>
      </w:r>
    </w:p>
    <w:tbl>
      <w:tblPr>
        <w:tblW w:w="4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481"/>
        <w:gridCol w:w="1576"/>
        <w:gridCol w:w="1201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Channel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State today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Blocker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Our marketplace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Live.</w:t>
            </w:r>
            <w:r>
              <w:rPr/>
              <w:t xml:space="preserve"> </w:t>
            </w:r>
            <w:r>
              <w:rPr>
                <w:rStyle w:val="SourceText"/>
              </w:rPr>
              <w:t>routers/publish.py</w:t>
            </w:r>
            <w:r>
              <w:rPr/>
              <w:t xml:space="preserve"> persists it, </w:t>
            </w:r>
            <w:r>
              <w:rPr>
                <w:rStyle w:val="SourceText"/>
              </w:rPr>
              <w:t>routers/marketplace.py</w:t>
            </w:r>
            <w:r>
              <w:rPr/>
              <w:t xml:space="preserve"> serves it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ONDC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Catalog </w:t>
            </w:r>
            <w:r>
              <w:rPr>
                <w:rStyle w:val="StrongEmphasis"/>
              </w:rPr>
              <w:t>mapped</w:t>
            </w:r>
            <w:r>
              <w:rPr/>
              <w:t xml:space="preserve">, returns </w:t>
            </w:r>
            <w:r>
              <w:rPr>
                <w:rStyle w:val="SourceText"/>
              </w:rPr>
              <w:t>dry_run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beckn-onix subscriber id issued yet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GeM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.xlsx</w:t>
            </w:r>
            <w:r>
              <w:rPr/>
              <w:t xml:space="preserve"> renderer built, </w:t>
            </w:r>
            <w:r>
              <w:rPr>
                <w:rStyle w:val="SourceText"/>
              </w:rPr>
              <w:t>openpyxl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Zero real category templates in the repo</w:t>
            </w:r>
            <w:r>
              <w:rPr/>
              <w:t xml:space="preserve"> — </w:t>
            </w:r>
            <w:r>
              <w:rPr>
                <w:rStyle w:val="SourceText"/>
              </w:rPr>
              <w:t>gem_templates/</w:t>
            </w:r>
            <w:r>
              <w:rPr/>
              <w:t xml:space="preserve"> holds a README and nothing else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Amazon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OAuth real, payload real, </w:t>
            </w:r>
            <w:r>
              <w:rPr>
                <w:rStyle w:val="SourceText"/>
              </w:rPr>
              <w:t>PUT</w:t>
            </w:r>
            <w:r>
              <w:rPr>
                <w:rStyle w:val="StrongEmphasis"/>
              </w:rPr>
              <w:t xml:space="preserve"> not implemented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TODO(phase 8)</w:t>
            </w:r>
            <w:r>
              <w:rPr/>
              <w:t xml:space="preserve"> in </w:t>
            </w:r>
            <w:r>
              <w:rPr>
                <w:rStyle w:val="SourceText"/>
              </w:rPr>
              <w:t>channels/amazon.py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Flipkart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shape, 51 lines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Meesho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Copy-paste block + guided browser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public API exists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WhatsApp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 + caption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Our own registry says it, unprompted, in a docstring</w:t>
      </w:r>
      <w:r>
        <w:rPr/>
        <w:t xml:space="preserve"> (</w:t>
      </w:r>
      <w:r>
        <w:rPr>
          <w:rStyle w:val="SourceText"/>
        </w:rPr>
        <w:t>web/api/channels/registry.py</w:t>
      </w:r>
      <w:r>
        <w:rPr/>
        <w:t>):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 xml:space="preserve">"This said 'two live listings … and it is real' while ONDC was returning a fabricated </w:t>
      </w:r>
      <w:r>
        <w:rPr>
          <w:rStyle w:val="SourceText"/>
        </w:rPr>
        <w:t>ondc:{id}</w:t>
      </w:r>
      <w:r>
        <w:rPr>
          <w:rStyle w:val="Emphasis"/>
        </w:rPr>
        <w:t>. Put the two back when the push is real. The number here is the demo claim, and a demo claim that outruns the code is how you lose the room."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Amazon adapter refuses to lie for the same reason</w:t>
      </w:r>
      <w:r>
        <w:rPr/>
        <w:t xml:space="preserve">, and I would read this line aloud if asked: </w:t>
      </w:r>
      <w:r>
        <w:rPr>
          <w:rStyle w:val="Emphasis"/>
        </w:rPr>
        <w:t>"An artisan who has done the work of connecting their Seller Central account has earned an accurate answer about what we then did with it."</w:t>
      </w:r>
      <w:r>
        <w:rPr/>
        <w:t xml:space="preserve"> It returns </w:t>
      </w:r>
      <w:r>
        <w:rPr>
          <w:rStyle w:val="SourceText"/>
        </w:rPr>
        <w:t>dry_run</w:t>
      </w:r>
      <w:r>
        <w:rPr/>
        <w:t xml:space="preserve"> with the message </w:t>
      </w:r>
      <w:r>
        <w:rPr>
          <w:rStyle w:val="Emphasis"/>
        </w:rPr>
        <w:t>"SP-API listings PUT not implemented — nothing was sent to Amazon."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the tiering is the better pitch.</w:t>
      </w:r>
      <w:r>
        <w:rPr/>
        <w:t xml:space="preserve"> A flat "one-click everywhere" claim does not survive one industry judge. </w:t>
      </w:r>
      <w:r>
        <w:rPr>
          <w:rStyle w:val="StrongEmphasis"/>
        </w:rPr>
        <w:t>The tiering proves we know which Indian platforms have APIs and which do not</w:t>
      </w:r>
      <w:r>
        <w:rPr/>
        <w:t xml:space="preserve"> — and that knowledge is the actual product. Anyone can call an API. Knowing that GeM has none, that Meesho is partner-gated, that Myntra requires a </w:t>
      </w:r>
      <w:r>
        <w:rPr>
          <w:rStyle w:val="StrongEmphasis"/>
        </w:rPr>
        <w:t>trademark certificate a weaver cannot possibly have</w:t>
      </w:r>
      <w:r>
        <w:rPr/>
        <w:t xml:space="preserve"> — that is the work.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Dropped deliberately, and this matters:</w:t>
      </w:r>
      <w:r>
        <w:rPr/>
        <w:t xml:space="preserve"> Myntra, Nykaa, Ajio. Myntra onboarding requires GST, PAN, Aadhaar, </w:t>
      </w:r>
      <w:r>
        <w:rPr>
          <w:rStyle w:val="StrongEmphasis"/>
        </w:rPr>
        <w:t>a trademark certificate or brand authorisation letter</w:t>
      </w:r>
      <w:r>
        <w:rPr/>
        <w:t xml:space="preserve">, address proof and incorporation documents. </w:t>
      </w:r>
      <w:r>
        <w:rPr>
          <w:rStyle w:val="StrongEmphasis"/>
        </w:rPr>
        <w:t>A weaver has no trademark.</w:t>
      </w:r>
      <w:r>
        <w:rPr/>
        <w:t xml:space="preserve"> If an industry judge is in the room, claiming Myntra integration is instant credibility loss. They are off every slide.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Q5.2 — "GeM has no seller API. So how is uploading a spreadsheet 'AI-driven market linkage'?"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where our best story is, and it is counter-intuitive enough that it needs the number up front.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GeM has 10,700+ product categories.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Choosing the wrong one is the single most common listing failure — errors in category selection and attribute accuracy cause delayed approvals, repeated rejections and lost opportunities. </w:t>
      </w:r>
      <w:r>
        <w:rPr>
          <w:rStyle w:val="StrongEmphasis"/>
        </w:rPr>
        <w:t>An artisan cannot navigate 10,700 categories. Neither can most educated sellers: an entire consultancy industry exists purely to fill GeM catalogues correctly.</w:t>
      </w:r>
    </w:p>
    <w:p>
      <w:pPr>
        <w:pStyle w:val="TextBody"/>
        <w:bidi w:val="0"/>
        <w:spacing w:before="0" w:after="283"/>
        <w:jc w:val="left"/>
        <w:rPr/>
      </w:pPr>
      <w:r>
        <w:rPr/>
        <w:t>A vision model maps a photograph of a Sambalpuri saree to the right GeM category. NLP fills the attribute schema. We look up the HSN code.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That is a consultancy industry, automated, free, in the artisan's own language.</w:t>
      </w:r>
      <w:r>
        <w:rPr/>
        <w:t xml:space="preserve"> Background removal is a commodity. </w:t>
      </w:r>
      <w:r>
        <w:rPr>
          <w:rStyle w:val="StrongEmphasis"/>
        </w:rPr>
        <w:t>This is not.</w:t>
      </w:r>
      <w:r>
        <w:rPr/>
        <w:t xml:space="preserve"> This is what "AI-driven market linkage" actually means.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Excel path is the official one, not a workaround.</w:t>
      </w:r>
      <w:r>
        <w:rPr/>
        <w:t xml:space="preserve"> Per GeM's own Catalogue Management guidance: sellers may use the bulk upload facility with the category-specific Excel format, and once filled accurately and saved, </w:t>
      </w:r>
      <w:r>
        <w:rPr>
          <w:rStyle w:val="StrongEmphasis"/>
        </w:rPr>
        <w:t>the item is automatically listed on GeM 3.0</w:t>
      </w:r>
      <w:r>
        <w:rPr/>
        <w:t xml:space="preserve">. So our job is precisely stated: </w:t>
      </w:r>
      <w:r>
        <w:rPr>
          <w:rStyle w:val="StrongEmphasis"/>
        </w:rPr>
        <w:t>generate a perfect, category-correct GeM Excel from a photograph and a voice note.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blocker, and it is in the adapter's own docstring as [warning] BLOCKING:</w:t>
      </w:r>
      <w:r>
        <w:rPr/>
        <w:t xml:space="preserve"> the real category templates are </w:t>
      </w:r>
      <w:r>
        <w:rPr>
          <w:rStyle w:val="SourceText"/>
        </w:rPr>
        <w:t>docs/Master-Technical-Reference.md</w:t>
      </w:r>
      <w:r>
        <w:rPr/>
        <w:t xml:space="preserve"> §18 items 1 and 2 and </w:t>
      </w:r>
      <w:r>
        <w:rPr>
          <w:rStyle w:val="StrongEmphasis"/>
        </w:rPr>
        <w:t>are not in the repo.</w:t>
      </w:r>
      <w:r>
        <w:rPr/>
        <w:t xml:space="preserve"> </w:t>
      </w:r>
      <w:r>
        <w:rPr>
          <w:rStyle w:val="SourceText"/>
        </w:rPr>
        <w:t>_load_template</w:t>
      </w:r>
      <w:r>
        <w:rPr/>
        <w:t xml:space="preserve"> reads a JSON descriptor per category </w:t>
      </w:r>
      <w:r>
        <w:rPr>
          <w:rStyle w:val="Emphasis"/>
        </w:rPr>
        <w:t>"so that when the real templates arrive, adding one is dropping in a file — never editing this adapter."</w:t>
      </w:r>
      <w:r>
        <w:rPr/>
        <w:t xml:space="preserve"> The architecture is right and the data is missing. </w:t>
      </w:r>
      <w:r>
        <w:rPr>
          <w:rStyle w:val="StrongEmphasis"/>
        </w:rPr>
        <w:t>Phase 7 cannot start without it</w:t>
      </w:r>
      <w:r>
        <w:rPr/>
        <w:t>, and it is the single highest-priority unassigned task in the project.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GeM facts that make this channel the right primary</w:t>
      </w:r>
      <w:r>
        <w:rPr/>
        <w:t>, and which most teams will not know:</w:t>
      </w:r>
    </w:p>
    <w:tbl>
      <w:tblPr>
        <w:tblW w:w="4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5"/>
        <w:gridCol w:w="3069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Fact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Caution money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Artisans and weavers FULLY EXEMPT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 charges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Zero up to ₹10 lakh</w:t>
            </w:r>
            <w:r>
              <w:rPr/>
              <w:t xml:space="preserve"> order value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Annual Milestone Charge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One-time ₹10,000 only after ₹20 lakh Seller Merchandise Value in a FY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Free, online, paperless, 1–3 working days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MSE quota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Minimum 25% of government procurement reserved for MSMEs</w:t>
            </w:r>
            <w:r>
              <w:rPr/>
              <w:t xml:space="preserve"> — guaranteed demand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Already on GeM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~1.5 lakh weavers and handloom entities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Top rejection cause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Name mismatch</w:t>
            </w:r>
            <w:r>
              <w:rPr/>
              <w:t xml:space="preserve"> across Aadhaar / PAN / GST / bank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An artisan will never cross ₹20 lakh SMV. GeM is completely free for our users.</w:t>
      </w:r>
      <w:r>
        <w:rPr/>
        <w:t xml:space="preserve"> No caution money, no transaction charges, no milestone charge, free registration. </w:t>
      </w:r>
      <w:r>
        <w:rPr>
          <w:rStyle w:val="StrongEmphasis"/>
        </w:rPr>
        <w:t>The only remaining barrier is knowing how — and that is exactly the barrier we remove.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Still unverified and we say so:</w:t>
      </w:r>
      <w:r>
        <w:rPr/>
        <w:t xml:space="preserve"> Vendor Assessment (~₹11,200 + GST) applies to manufacturers/OEMs, and </w:t>
      </w:r>
      <w:r>
        <w:rPr>
          <w:rStyle w:val="StrongEmphasis"/>
        </w:rPr>
        <w:t>an artisan is an OEM, not a reseller.</w:t>
      </w:r>
      <w:r>
        <w:rPr/>
        <w:t xml:space="preserve"> Exemption route exists; </w:t>
      </w:r>
      <w:r>
        <w:rPr>
          <w:rStyle w:val="StrongEmphasis"/>
        </w:rPr>
        <w:t>Vendor Validation is still required.</w:t>
      </w:r>
      <w:r>
        <w:rPr/>
        <w:t xml:space="preserve"> We need it in writing from GeM and we do not have it.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Q5.3 — "The top GeM rejection is a name mismatch. What do you do about it?"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Small feature, disproportionate value, and it demonstrates that we researched failure modes rather than happy paths.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Before an artisan starts </w:t>
      </w:r>
      <w:r>
        <w:rPr>
          <w:rStyle w:val="Emphasis"/>
        </w:rPr>
        <w:t>any</w:t>
      </w:r>
      <w:r>
        <w:rPr/>
        <w:t xml:space="preserve"> government signup, </w:t>
      </w:r>
      <w:r>
        <w:rPr>
          <w:rStyle w:val="SourceText"/>
        </w:rPr>
        <w:t>/channels/gem/setup</w:t>
      </w:r>
      <w:r>
        <w:rPr/>
        <w:t xml:space="preserve"> asks them to </w:t>
      </w:r>
      <w:r>
        <w:rPr>
          <w:rStyle w:val="StrongEmphasis"/>
        </w:rPr>
        <w:t>say their name three times</w:t>
      </w:r>
      <w:r>
        <w:rPr/>
        <w:t xml:space="preserve"> — as printed on the PAN, on the bank passbook, on the Aadhaar card. We compare the three transcripts.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Twenty seconds of voice, before they spend three days on a registration that will be rejected.</w:t>
      </w:r>
      <w:r>
        <w:rPr/>
        <w:t xml:space="preserve"> It costs us almost nothing and it is the single highest-value thing on that screen.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it is privacy-clean by construction:</w:t>
      </w:r>
      <w:r>
        <w:rPr/>
        <w:t xml:space="preserve"> we store the </w:t>
      </w:r>
      <w:r>
        <w:rPr>
          <w:rStyle w:val="StrongEmphasis"/>
        </w:rPr>
        <w:t>comparison result</w:t>
      </w:r>
      <w:r>
        <w:rPr/>
        <w:t xml:space="preserve">, never the names-as-documents. </w:t>
      </w:r>
      <w:r>
        <w:rPr>
          <w:rStyle w:val="SourceText"/>
        </w:rPr>
        <w:t>docs/Application-Architecture.md</w:t>
      </w:r>
      <w:r>
        <w:rPr/>
        <w:t xml:space="preserve"> §6.1.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Q5.4 — "You said artisans need no GST. That is a strong claim. On what authority?"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Cite the notification number. This is the one place a specific legal citation wins the room outright, because almost nobody else will know it exists.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Notification 34/2023-Central Tax, effective 1 October 2023.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Persons supplying goods </w:t>
      </w:r>
      <w:r>
        <w:rPr>
          <w:rStyle w:val="StrongEmphasis"/>
        </w:rPr>
        <w:t>through an e-commerce operator</w:t>
      </w:r>
      <w:r>
        <w:rPr/>
        <w:t xml:space="preserve"> are </w:t>
      </w:r>
      <w:r>
        <w:rPr>
          <w:rStyle w:val="StrongEmphasis"/>
        </w:rPr>
        <w:t>exempt from mandatory GST registration</w:t>
      </w:r>
      <w:r>
        <w:rPr/>
        <w:t xml:space="preserve"> where: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(a) supplies are within a single State/UT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(b) no inter-state supply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(c) they have a PAN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(d) the PAN is declared on the GST portal with place of business and State/UT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(e) they obtain an </w:t>
      </w:r>
      <w:r>
        <w:rPr>
          <w:rStyle w:val="StrongEmphasis"/>
        </w:rPr>
        <w:t>enrolment number</w:t>
      </w:r>
      <w:r>
        <w:rPr/>
        <w:t xml:space="preserve"> on the common portal after PAN validation — and cannot supply through an ECO before that </w:t>
      </w:r>
    </w:p>
    <w:p>
      <w:pPr>
        <w:pStyle w:val="TextBody"/>
        <w:bidi w:val="0"/>
        <w:jc w:val="left"/>
        <w:rPr/>
      </w:pPr>
      <w:r>
        <w:rPr/>
        <w:t xml:space="preserve">Applicable where aggregate turnover in the previous and current FY is below the State/UT registration threshold. </w:t>
      </w:r>
      <w:r>
        <w:rPr>
          <w:rStyle w:val="StrongEmphasis"/>
        </w:rPr>
        <w:t>GSTN has built the enrolment functionality.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we built the GST Enrolment Wizard</w:t>
      </w:r>
      <w:r>
        <w:rPr/>
        <w:t xml:space="preserve"> (</w:t>
      </w:r>
      <w:r>
        <w:rPr>
          <w:rStyle w:val="SourceText"/>
        </w:rPr>
        <w:t>/wizard/gst</w:t>
      </w:r>
      <w:r>
        <w:rPr/>
        <w:t xml:space="preserve">, route 20). Three spoken questions — </w:t>
      </w:r>
      <w:r>
        <w:rPr>
          <w:rStyle w:val="Emphasis"/>
        </w:rPr>
        <w:t>"Kis rajya me hain? Doosre rajya me bhejenge? Saal me kitna kaam?"</w:t>
      </w:r>
      <w:r>
        <w:rPr/>
        <w:t xml:space="preserve"> — routing to one of three outcomes:</w:t>
      </w:r>
    </w:p>
    <w:tbl>
      <w:tblPr>
        <w:tblW w:w="4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9"/>
        <w:gridCol w:w="2945"/>
      </w:tblGrid>
      <w:tr>
        <w:trPr>
          <w:tblHeader w:val="true"/>
        </w:trPr>
        <w:tc>
          <w:tcPr>
            <w:tcW w:w="155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Situation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Path</w:t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Intra-state only, below threshold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 GST needed</w:t>
            </w:r>
            <w:r>
              <w:rPr/>
              <w:t xml:space="preserve"> — enrolment number only. The wizard walks them through</w:t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Inter-state intent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GST registration required — no exemption</w:t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Above threshold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registration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This feature </w:t>
      </w:r>
      <w:r>
        <w:rPr>
          <w:rStyle w:val="StrongEmphasis"/>
        </w:rPr>
        <w:t>literally, legally</w:t>
      </w:r>
      <w:r>
        <w:rPr/>
        <w:t xml:space="preserve"> addresses "drastically lower the barrier to entry," and almost no other team will know this notification exists.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reciprocal obligation, which we state rather than hide.</w:t>
      </w:r>
      <w:r>
        <w:rPr/>
        <w:t xml:space="preserve"> Because we become the ONDC Marketplace Seller Node, </w:t>
      </w:r>
      <w:r>
        <w:rPr>
          <w:rStyle w:val="StrongEmphasis"/>
        </w:rPr>
        <w:t>we</w:t>
      </w:r>
      <w:r>
        <w:rPr/>
        <w:t xml:space="preserve"> are the e-commerce operator. Per </w:t>
      </w:r>
      <w:r>
        <w:rPr>
          <w:rStyle w:val="StrongEmphasis"/>
        </w:rPr>
        <w:t>CBIC Circular 194/06/2023</w:t>
      </w:r>
      <w:r>
        <w:rPr/>
        <w:t xml:space="preserve">, where the supplier-side ECO is not itself the supplier, </w:t>
      </w:r>
      <w:r>
        <w:rPr>
          <w:rStyle w:val="StrongEmphasis"/>
        </w:rPr>
        <w:t>it carries the TCS liability</w:t>
      </w:r>
      <w:r>
        <w:rPr/>
        <w:t xml:space="preserve"> — so TCS collection and </w:t>
      </w:r>
      <w:r>
        <w:rPr>
          <w:rStyle w:val="StrongEmphasis"/>
        </w:rPr>
        <w:t>monthly GSTR-8 filings are ours, not the artisan's.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That is a real, recurring compliance obligation on us. It is the price of Tier A and it is worth it</w:t>
      </w:r>
      <w:r>
        <w:rPr/>
        <w:t xml:space="preserve"> — because it is the only mechanism by which a weaver with a phone and a PAN card can be selling on a national network with no registration of their own. Cost of that compliance is a line item in the costing document, not a footnote.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Q5.5 — "Explain the ONDC claim. Why does an artisan need nothing at all?"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our strongest architectural decision. State the mechanism, then the consequence.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 — the posture, decided and recorded</w:t>
      </w:r>
      <w:r>
        <w:rPr/>
        <w:t xml:space="preserve"> (</w:t>
      </w:r>
      <w:r>
        <w:rPr>
          <w:rStyle w:val="SourceText"/>
        </w:rPr>
        <w:t>docs/decisions.md</w:t>
      </w:r>
      <w:r>
        <w:rPr/>
        <w:t xml:space="preserve">): </w:t>
      </w:r>
      <w:r>
        <w:rPr>
          <w:rStyle w:val="StrongEmphasis"/>
        </w:rPr>
        <w:t>we become the ONDC Marketplace Seller Node.</w:t>
      </w:r>
      <w:r>
        <w:rPr/>
        <w:t xml:space="preserve"> An MSN does not hold its own inventory; it offers other sellers' goods. That is an exact fit. </w:t>
      </w:r>
      <w:r>
        <w:rPr>
          <w:rStyle w:val="StrongEmphasis"/>
        </w:rPr>
        <w:t>We register once. Every artisan is a sub-seller under our node.</w:t>
      </w:r>
    </w:p>
    <w:p>
      <w:pPr>
        <w:pStyle w:val="TextBody"/>
        <w:bidi w:val="0"/>
        <w:spacing w:before="0" w:after="283"/>
        <w:jc w:val="left"/>
        <w:rPr/>
      </w:pPr>
      <w:r>
        <w:rPr/>
        <w:t>Consequences, and each one is a barrier deleted: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ONDC registration for the artisan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DigiReady certification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 GST</w:t>
      </w:r>
      <w:r>
        <w:rPr/>
        <w:t xml:space="preserve"> — Notification 34/2023 applies because </w:t>
      </w:r>
      <w:r>
        <w:rPr>
          <w:rStyle w:val="Emphasis"/>
        </w:rPr>
        <w:t>we</w:t>
      </w:r>
      <w:r>
        <w:rPr/>
        <w:t xml:space="preserve"> are the ECO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One tap → visible across </w:t>
      </w:r>
      <w:r>
        <w:rPr>
          <w:rStyle w:val="StrongEmphasis"/>
        </w:rPr>
        <w:t>every ONDC buyer app simultaneously</w:t>
      </w:r>
      <w:r>
        <w:rPr/>
        <w:t xml:space="preserve"> (Paytm, Magicpin, Mystore, …). </w:t>
      </w:r>
      <w:r>
        <w:rPr>
          <w:rStyle w:val="StrongEmphasis"/>
        </w:rPr>
        <w:t>One integration, many buyer apps. Amazon offers nothing comparable</w:t>
      </w:r>
      <w:r>
        <w:rPr/>
        <w:t xml:space="preserve"> </w:t>
      </w:r>
    </w:p>
    <w:p>
      <w:pPr>
        <w:pStyle w:val="Quotations"/>
        <w:bidi w:val="0"/>
        <w:jc w:val="left"/>
        <w:rPr/>
      </w:pPr>
      <w:r>
        <w:rPr/>
        <w:t>A weaver with a phone and a PAN card goes from zero to sellable on a national network in one tap.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it costs technically.</w:t>
      </w:r>
      <w:r>
        <w:rPr/>
        <w:t xml:space="preserve"> Self-signed certificates with </w:t>
      </w:r>
      <w:r>
        <w:rPr>
          <w:rStyle w:val="StrongEmphasis"/>
        </w:rPr>
        <w:t>separate key pairs for signing and encryption</w:t>
      </w:r>
      <w:r>
        <w:rPr/>
        <w:t xml:space="preserve">, separate certs for buyer node (BAP) and seller node (BPP), registration on the registry portal with Subscriber ID, country, cities, domain and type; then the subscription workflow and registrar approval. After that we hold </w:t>
      </w:r>
      <w:r>
        <w:rPr>
          <w:rStyle w:val="SourceText"/>
        </w:rPr>
        <w:t>subscriber_id</w:t>
      </w:r>
      <w:r>
        <w:rPr/>
        <w:t xml:space="preserve">, </w:t>
      </w:r>
      <w:r>
        <w:rPr>
          <w:rStyle w:val="SourceText"/>
        </w:rPr>
        <w:t>signing_public_key</w:t>
      </w:r>
      <w:r>
        <w:rPr/>
        <w:t xml:space="preserve">, </w:t>
      </w:r>
      <w:r>
        <w:rPr>
          <w:rStyle w:val="SourceText"/>
        </w:rPr>
        <w:t>encryption_public_key</w:t>
      </w:r>
      <w:r>
        <w:rPr/>
        <w:t>, used in every request.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State today: </w:t>
      </w:r>
      <w:r>
        <w:rPr>
          <w:rStyle w:val="SourceText"/>
        </w:rPr>
        <w:t>dry_run</w:t>
      </w:r>
      <w:r>
        <w:rPr>
          <w:rStyle w:val="StrongEmphasis"/>
        </w:rPr>
        <w:t>.</w:t>
      </w:r>
      <w:r>
        <w:rPr/>
        <w:t xml:space="preserve"> The catalog is mapped; </w:t>
      </w:r>
      <w:r>
        <w:rPr>
          <w:rStyle w:val="StrongEmphasis"/>
        </w:rPr>
        <w:t>nothing is signed or pushed</w:t>
      </w:r>
      <w:r>
        <w:rPr/>
        <w:t>, because the subscriber id has not been issued. There is a staging environment and it is the most demoable of all our channels — that is phase 6 and it is the phase that makes the USP real.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Registrar approval is an external dependency on someone else's timeline. If it does not land, Tier A collapses to one channel — our own marketplace — and the "zero paperwork" claim loses its national reach. That is the largest single external risk in the project.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Q5.6 — "You are filling forms on government websites with an injected script. Is that not automation of a portal you do not own?"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They are probing for a Play Store / terms-of-service problem. There is one nearby, we already rejected it, and saying so is the answer.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rejected, explicitly and by name</w:t>
      </w:r>
      <w:r>
        <w:rPr/>
        <w:t xml:space="preserve"> (</w:t>
      </w:r>
      <w:r>
        <w:rPr>
          <w:rStyle w:val="SourceText"/>
        </w:rPr>
        <w:t>CLAUDE.md</w:t>
      </w:r>
      <w:r>
        <w:rPr/>
        <w:t xml:space="preserve">, rejected list): an </w:t>
      </w:r>
      <w:r>
        <w:rPr>
          <w:rStyle w:val="SourceText"/>
        </w:rPr>
        <w:t>AccessibilityService</w:t>
      </w:r>
      <w:r>
        <w:rPr>
          <w:rStyle w:val="StrongEmphasis"/>
        </w:rPr>
        <w:t xml:space="preserve"> overlay on top of the real Amazon/Flipkart apps.</w:t>
      </w:r>
      <w:r>
        <w:rPr/>
        <w:t xml:space="preserve"> Google Play permits that API only for genuine disability tools; </w:t>
      </w:r>
      <w:r>
        <w:rPr>
          <w:rStyle w:val="StrongEmphasis"/>
        </w:rPr>
        <w:t>enforcement tightened 28 January 2026, and Android 17 blocks non-accessibility apps from the API outright.</w:t>
      </w:r>
      <w:r>
        <w:rPr/>
        <w:t xml:space="preserve"> Misuse means app suspension and developer-account termination. </w:t>
      </w:r>
      <w:r>
        <w:rPr>
          <w:rStyle w:val="StrongEmphasis"/>
        </w:rPr>
        <w:t>On a government problem statement that is disqualifying. The idea is dead.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built instead — our WebView, their site.</w:t>
      </w:r>
      <w:r>
        <w:rPr/>
        <w:t xml:space="preserve"> The artisan taps </w:t>
      </w:r>
      <w:r>
        <w:rPr>
          <w:rStyle w:val="Emphasis"/>
        </w:rPr>
        <w:t>"GeM par register karein"</w:t>
      </w:r>
      <w:r>
        <w:rPr/>
        <w:t>, an in-app browser opens gem.gov.in in a container we control, and a bar pins to the bottom that speaks each instruction and puts the exact value on the clipboard. The artisan self-reports done.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Autofill is a layer on top of that, not a replacement.</w:t>
      </w:r>
      <w:r>
        <w:rPr/>
        <w:t xml:space="preserve"> It is legitimate because it is </w:t>
      </w:r>
      <w:r>
        <w:rPr>
          <w:rStyle w:val="StrongEmphasis"/>
        </w:rPr>
        <w:t>the artisan's own browser session, on the artisan's own account, filling the artisan's own data, at the artisan's explicit request</w:t>
      </w:r>
      <w:r>
        <w:rPr/>
        <w:t xml:space="preserve"> — materially different from automating a third party's app from outside.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Four non-negotiable rules, and rule 3 is the one that answers the question: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Selectors live on the server</w:t>
      </w:r>
      <w:r>
        <w:rPr/>
        <w:t xml:space="preserve"> — versioned JSON, fetched at runtime, never compiled into the app. A DOM change is a config push we ship in an hour.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Every step degrades, never fails.</w:t>
      </w:r>
      <w:r>
        <w:rPr/>
        <w:t xml:space="preserve"> Selector misses → that step falls back to guided-paste, speaks the instruction, and carries on. The artisan sees a slower step, never a broken screen.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 never automate submit, login, OTP, payment or CAPTCHA.</w:t>
      </w:r>
      <w:r>
        <w:rPr/>
        <w:t xml:space="preserve"> </w:t>
      </w:r>
      <w:r>
        <w:rPr>
          <w:rStyle w:val="StrongEmphasis"/>
        </w:rPr>
        <w:t>We fill fields. The artisan presses the button.</w:t>
      </w:r>
      <w:r>
        <w:rPr/>
        <w:t xml:space="preserve"> A human stays in the loop on every consequential action.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Health telemetry per selector.</w:t>
      </w:r>
      <w:r>
        <w:rPr/>
        <w:t xml:space="preserve"> Match-rate per step per pack version; below threshold → alert, and the channel </w:t>
      </w:r>
      <w:r>
        <w:rPr>
          <w:rStyle w:val="StrongEmphasis"/>
        </w:rPr>
        <w:t>auto-reverts to guided-paste</w:t>
      </w:r>
      <w:r>
        <w:rPr/>
        <w:t xml:space="preserve"> until a new pack ships.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Ships off. Per-channel flag. Turns on only after its selector pack holds &gt;95% match for a week.</w:t>
      </w:r>
      <w:r>
        <w:rPr/>
        <w:t xml:space="preserve"> Rollout order is cheapest DOM first: GeM registration → GST enrolment → Meesho Supplier Hub. Never Amazon or Flipkart </w:t>
      </w:r>
      <w:r>
        <w:rPr>
          <w:rStyle w:val="Emphasis"/>
        </w:rPr>
        <w:t>listing</w:t>
      </w:r>
      <w:r>
        <w:rPr/>
        <w:t xml:space="preserve"> forms, because Tier B already has a real API.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honest framing for judges</w:t>
      </w:r>
      <w:r>
        <w:rPr/>
        <w:t xml:space="preserve">, verbatim from </w:t>
      </w:r>
      <w:r>
        <w:rPr>
          <w:rStyle w:val="SourceText"/>
        </w:rPr>
        <w:t>docs/Application-Architecture.md</w:t>
      </w:r>
      <w:r>
        <w:rPr/>
        <w:t xml:space="preserve"> §6.4: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"Tier A and B are one tap through APIs we control. Tier C and D are one tap plus a confirm, through an assisted browser that fills the artisan's own forms on the artisan's own account — and degrades to spoken step-by-step guidance the moment a page changes."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portal redesign. That is </w:t>
      </w:r>
      <w:r>
        <w:rPr>
          <w:rStyle w:val="Emphasis"/>
        </w:rPr>
        <w:t>when</w:t>
      </w:r>
      <w:r>
        <w:rPr/>
        <w:t xml:space="preserve">, not </w:t>
      </w:r>
      <w:r>
        <w:rPr>
          <w:rStyle w:val="Emphasis"/>
        </w:rPr>
        <w:t>if</w:t>
      </w:r>
      <w:r>
        <w:rPr/>
        <w:t xml:space="preserve"> — which is exactly why selectors are server-side config and why the fallback is the default rather than the exception.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Q5.7 — "You call it a virtual business manager. GeM has no order API. So where do GeM orders appear?"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There is a real hole here. </w:t>
      </w:r>
      <w:r>
        <w:rPr>
          <w:rStyle w:val="SourceText"/>
        </w:rPr>
        <w:t>docs/Master-Technical-Reference.md</w:t>
      </w:r>
      <w:r>
        <w:rPr/>
        <w:t xml:space="preserve"> §9.3 tells us how to answer it, and the instruction is to not pretend.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They do not appear automatically. GeM orders land on the GeM seller dashboard and nowhere else.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How we handle it, in preference order: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 cluster coordinator checks the GeM dashboard and marks the order in the admin console</w:t>
      </w:r>
      <w:r>
        <w:rPr/>
        <w:t xml:space="preserve"> (</w:t>
      </w:r>
      <w:r>
        <w:rPr>
          <w:rStyle w:val="SourceText"/>
        </w:rPr>
        <w:t>/gem-recon</w:t>
      </w:r>
      <w:r>
        <w:rPr/>
        <w:t xml:space="preserve">, admin page 5). </w:t>
      </w:r>
      <w:r>
        <w:rPr>
          <w:rStyle w:val="StrongEmphasis"/>
        </w:rPr>
        <w:t>A real, fundable job — remote, over a phone call, never a field visit.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Email parsing</w:t>
      </w:r>
      <w:r>
        <w:rPr/>
        <w:t xml:space="preserve">, if GeM sends order notification emails.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Roadmap:</w:t>
      </w:r>
      <w:r>
        <w:rPr/>
        <w:t xml:space="preserve"> "GeM order API pending MoU." </w:t>
      </w:r>
    </w:p>
    <w:p>
      <w:pPr>
        <w:pStyle w:val="Quotations"/>
        <w:bidi w:val="0"/>
        <w:jc w:val="left"/>
        <w:rPr/>
      </w:pPr>
      <w:r>
        <w:rPr>
          <w:rStyle w:val="StrongEmphasis"/>
        </w:rPr>
        <w:t>Do not pretend we have GeM order sync. Stating the gap and showing the workaround reads as maturity. Faking it is a question we cannot survive.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What </w:t>
      </w:r>
      <w:r>
        <w:rPr>
          <w:rStyle w:val="Emphasis"/>
        </w:rPr>
        <w:t>is</w:t>
      </w:r>
      <w:r>
        <w:rPr>
          <w:rStyle w:val="StrongEmphasis"/>
        </w:rPr>
        <w:t xml:space="preserve"> automatic, so the manager claim is not empty:</w:t>
      </w:r>
    </w:p>
    <w:tbl>
      <w:tblPr>
        <w:tblW w:w="4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5"/>
        <w:gridCol w:w="3249"/>
      </w:tblGrid>
      <w:tr>
        <w:trPr>
          <w:tblHeader w:val="true"/>
        </w:trPr>
        <w:tc>
          <w:tcPr>
            <w:tcW w:w="125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Channel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Mechanism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 marketplace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Direct DB write — instant, we own it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ONDC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Beckn callbacks (</w:t>
            </w:r>
            <w:r>
              <w:rPr>
                <w:rStyle w:val="SourceText"/>
              </w:rPr>
              <w:t>on_confirm</w:t>
            </w:r>
            <w:r>
              <w:rPr/>
              <w:t xml:space="preserve">, </w:t>
            </w:r>
            <w:r>
              <w:rPr>
                <w:rStyle w:val="SourceText"/>
              </w:rPr>
              <w:t>on_status</w:t>
            </w:r>
            <w:r>
              <w:rPr/>
              <w:t xml:space="preserve">) — </w:t>
            </w:r>
            <w:r>
              <w:rPr>
                <w:rStyle w:val="StrongEmphasis"/>
              </w:rPr>
              <w:t>true push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Amazon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Notifications API → queue; Orders API as fallback poll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Flipkart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Order Management Notification webhooks — confirmed to exist</w:t>
            </w:r>
            <w:r>
              <w:rPr/>
              <w:t xml:space="preserve"> (closed §18 item 7)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[no] none — coordinator reconciles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Meesho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[no] none — manual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All of them normalise into </w:t>
      </w:r>
      <w:r>
        <w:rPr>
          <w:rStyle w:val="StrongEmphasis"/>
        </w:rPr>
        <w:t xml:space="preserve">one canonical </w:t>
      </w:r>
      <w:r>
        <w:rPr>
          <w:rStyle w:val="SourceText"/>
        </w:rPr>
        <w:t>Order</w:t>
      </w:r>
      <w:r>
        <w:rPr/>
        <w:t xml:space="preserve"> with one state machine — placed → packed → shipped → delivered → settled — and one artisan inbox in their language with a voice notification. The unification is the product; the ingestion mechanism differs per channel and always will.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Q5.8 — "Two buyers on two platforms buy the same one-of-a-kind saree in the same second. What happens?"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Do not claim to solve it. Nobody solves it. Say that, then show the mitigation that actually shrinks the problem, because that part is genuinely good.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One of them loses, and there is a window in which that is unavoidable.</w:t>
      </w:r>
      <w:r>
        <w:rPr/>
        <w:t xml:space="preserve"> Propagation to Amazon and ONDC takes seconds to minutes. </w:t>
      </w:r>
      <w:r>
        <w:rPr>
          <w:rStyle w:val="StrongEmphasis"/>
        </w:rPr>
        <w:t>That window cannot be closed. Every multichannel tool in the world lives with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build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§10.2):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Central inventory ledger</w:t>
      </w:r>
      <w:r>
        <w:rPr/>
        <w:t xml:space="preserve"> — single source of truth in our DB. </w:t>
      </w:r>
      <w:r>
        <w:rPr>
          <w:rStyle w:val="StrongEmphasis"/>
        </w:rPr>
        <w:t>No channel is authoritative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Atomic reserve-on-order with optimistic locking</w:t>
      </w:r>
      <w:r>
        <w:rPr/>
        <w:t xml:space="preserve"> — a </w:t>
      </w:r>
      <w:r>
        <w:rPr>
          <w:rStyle w:val="SourceText"/>
        </w:rPr>
        <w:t>version</w:t>
      </w:r>
      <w:r>
        <w:rPr/>
        <w:t xml:space="preserve"> column; first write wins, second rejected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Immediate fan-out</w:t>
      </w:r>
      <w:r>
        <w:rPr/>
        <w:t xml:space="preserve"> to all channels on any change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Oversell resolution flow</w:t>
      </w:r>
      <w:r>
        <w:rPr/>
        <w:t xml:space="preserve"> — auto-cancel the losing order, apology plus priority-restock offer to that buyer, and </w:t>
      </w:r>
      <w:r>
        <w:rPr>
          <w:rStyle w:val="StrongEmphasis"/>
        </w:rPr>
        <w:t>never let the artisan absorb the account-health hit silently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mitigation that actually shrinks the problem, and it is a product decision not a technical one:</w:t>
      </w:r>
      <w:r>
        <w:rPr/>
        <w:t xml:space="preserve"> </w:t>
      </w:r>
      <w:r>
        <w:rPr>
          <w:rStyle w:val="StrongEmphasis"/>
        </w:rPr>
        <w:t>most handicrafts are replicable, not unique.</w:t>
      </w:r>
      <w:r>
        <w:rPr/>
        <w:t xml:space="preserve"> A weaver can make another gamcha; a specific antique brass piece he cannot.</w:t>
      </w:r>
    </w:p>
    <w:tbl>
      <w:tblPr>
        <w:tblW w:w="4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2223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Behaviour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Made-to-order</w:t>
            </w:r>
            <w:r>
              <w:rPr/>
              <w:t xml:space="preserve"> (qty &gt; 1 + lead time)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 race condition at all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Unique piece</w:t>
            </w:r>
            <w:r>
              <w:rPr/>
              <w:t xml:space="preserve"> (qty = 1)</w:t>
            </w:r>
          </w:p>
        </w:tc>
        <w:tc>
          <w:tcPr>
            <w:tcW w:w="2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Reserve-and-race, small window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we push artisans toward made-to-order wherever the craft allows</w:t>
      </w:r>
      <w:r>
        <w:rPr/>
        <w:t xml:space="preserve"> — which is better for them anyway, because they never have to turn down demand. </w:t>
      </w:r>
      <w:r>
        <w:rPr>
          <w:rStyle w:val="SourceText"/>
        </w:rPr>
        <w:t>is_made_to_order</w:t>
      </w:r>
      <w:r>
        <w:rPr/>
        <w:t xml:space="preserve"> and </w:t>
      </w:r>
      <w:r>
        <w:rPr>
          <w:rStyle w:val="SourceText"/>
        </w:rPr>
        <w:t>lead_time_days</w:t>
      </w:r>
      <w:r>
        <w:rPr/>
        <w:t xml:space="preserve"> are in the schema from day one.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Genuinely unique pieces — antiques, one-off commissions, a single GI-tagged heirloom. There the window is real, the losing buyer is cancelled, and someone is disappointed. We chose to make that visible and compensated rather than invisible.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05-channels-and-linkage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