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Costing, Part A — Unit economics and the price basis</w:t>
      </w:r>
    </w:p>
    <w:p>
      <w:pPr>
        <w:pStyle w:val="Heading3"/>
        <w:bidi w:val="0"/>
        <w:jc w:val="left"/>
        <w:rPr/>
      </w:pPr>
      <w:r>
        <w:rPr/>
        <w:t>SIH 2026 · PS 26090 · What it costs to run this for a state, and then for the country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0. How to read every number in this document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Three markers, used on every figure. </w:t>
      </w:r>
      <w:r>
        <w:rPr>
          <w:rStyle w:val="StrongEmphasis"/>
        </w:rPr>
        <w:t>Nothing is asserted without one.</w:t>
      </w:r>
    </w:p>
    <w:tbl>
      <w:tblPr>
        <w:tblW w:w="42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37"/>
        <w:gridCol w:w="2812"/>
      </w:tblGrid>
      <w:tr>
        <w:trPr>
          <w:tblHeader w:val="true"/>
        </w:trPr>
        <w:tc>
          <w:tcPr>
            <w:tcW w:w="1437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Marker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Meaning</w:t>
            </w:r>
          </w:p>
        </w:tc>
      </w:tr>
      <w:tr>
        <w:trPr/>
        <w:tc>
          <w:tcPr>
            <w:tcW w:w="14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[measured] </w:t>
            </w:r>
            <w:r>
              <w:rPr>
                <w:rStyle w:val="StrongEmphasis"/>
              </w:rPr>
              <w:t>MEASURED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Measured in this repository, on our hardware, with the file that produced it named</w:t>
            </w:r>
          </w:p>
        </w:tc>
      </w:tr>
      <w:tr>
        <w:trPr/>
        <w:tc>
          <w:tcPr>
            <w:tcW w:w="14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[list price] </w:t>
            </w:r>
            <w:r>
              <w:rPr>
                <w:rStyle w:val="StrongEmphasis"/>
              </w:rPr>
              <w:t>LIST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 vendor's published price at the time of writing. </w:t>
            </w:r>
            <w:r>
              <w:rPr>
                <w:rStyle w:val="StrongEmphasis"/>
              </w:rPr>
              <w:t>Must be re-verified before any procurement conversation.</w:t>
            </w:r>
            <w:r>
              <w:rPr/>
              <w:t xml:space="preserve"> Currency converted at ₹88/USD</w:t>
            </w:r>
          </w:p>
        </w:tc>
      </w:tr>
      <w:tr>
        <w:trPr/>
        <w:tc>
          <w:tcPr>
            <w:tcW w:w="14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[derived] </w:t>
            </w:r>
            <w:r>
              <w:rPr>
                <w:rStyle w:val="StrongEmphasis"/>
              </w:rPr>
              <w:t>DERIVED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Arithmetic from the two above, with the assumption stated inline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The rule this follows is the same one that governs </w:t>
      </w:r>
      <w:r>
        <w:rPr>
          <w:rStyle w:val="SourceText"/>
        </w:rPr>
        <w:t>research/pricing/</w:t>
      </w:r>
      <w:r>
        <w:rPr>
          <w:rStyle w:val="StrongEmphasis"/>
        </w:rPr>
        <w:t>: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Never invent a number.</w:t>
      </w:r>
      <w:r>
        <w:rPr/>
        <w:t xml:space="preserve"> A plausible-looking guess is worse than an empty cell — an empty cell is honest about what we do not know; a guess is not.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Every ₹ below is re-derivable. If a vendor price moves 30%, the </w:t>
      </w:r>
      <w:r>
        <w:rPr>
          <w:rStyle w:val="Emphasis"/>
        </w:rPr>
        <w:t>conclusions</w:t>
      </w:r>
      <w:r>
        <w:rPr/>
        <w:t xml:space="preserve"> do not change, because the conclusions rest on ratios, not on absolute prices.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The measured basis — everything else is built on these seven numbers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[measured] All from </w:t>
      </w:r>
      <w:r>
        <w:rPr>
          <w:rStyle w:val="SourceText"/>
        </w:rPr>
        <w:t>research/segmentation/RESULTS.md</w:t>
      </w:r>
      <w:r>
        <w:rPr/>
        <w:t xml:space="preserve"> and </w:t>
      </w:r>
      <w:r>
        <w:rPr>
          <w:rStyle w:val="SourceText"/>
        </w:rPr>
        <w:t>docs/app/Future-Implementations.md</w:t>
      </w:r>
      <w:r>
        <w:rPr/>
        <w:t xml:space="preserve"> §4, measured 2026-08-28 and 2026-09-02.</w:t>
      </w:r>
    </w:p>
    <w:tbl>
      <w:tblPr>
        <w:tblW w:w="42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1372"/>
        <w:gridCol w:w="1295"/>
        <w:gridCol w:w="1356"/>
      </w:tblGrid>
      <w:tr>
        <w:trPr>
          <w:tblHeader w:val="true"/>
        </w:trPr>
        <w:tc>
          <w:tcPr>
            <w:tcW w:w="22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Fact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Value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Source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BiRefNet inference, warm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402 ms</w:t>
            </w:r>
            <w:r>
              <w:rPr/>
              <w:t xml:space="preserve"> (RTX 4060) · 645 ms (RTX 2050)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Segmentation benchmark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BiRefNet VRAM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1615 MiB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BiRefNet-lite</w:t>
            </w:r>
            <w:r>
              <w:rPr/>
              <w:t xml:space="preserve"> inference / VRAM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273 ms / 851 MiB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Same — </w:t>
            </w:r>
            <w:r>
              <w:rPr>
                <w:rStyle w:val="Emphasis"/>
              </w:rPr>
              <w:t>held in reserve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CPU stages per photo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901 ms</w:t>
            </w:r>
            <w:r>
              <w:rPr/>
              <w:t xml:space="preserve"> (decode 100 + gate 375 + master 168 + tier 124 + crop 54 + encode×3 80)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Latency profile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Total wall-clock compute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≈</w:t>
            </w:r>
            <w:r>
              <w:rPr>
                <w:rStyle w:val="StrongEmphasis"/>
              </w:rPr>
              <w:t>1.3 s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Cold model load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3486 ms</w:t>
            </w:r>
            <w:r>
              <w:rPr/>
              <w:t>, first inference 899 ms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Object-store round trip, Sydney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0.81–1.13 s × 8 serialized ≈ 7 s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most important structural fact hidden in that table:</w:t>
      </w:r>
      <w:r>
        <w:rPr/>
        <w:t xml:space="preserve"> of the 1.3 s, </w:t>
      </w:r>
      <w:r>
        <w:rPr>
          <w:rStyle w:val="StrongEmphasis"/>
        </w:rPr>
        <w:t>only 402 ms is GPU.</w:t>
      </w:r>
      <w:r>
        <w:rPr/>
        <w:t xml:space="preserve"> The other 901 ms is CPU work that does not touch the card.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[derived] </w:t>
      </w:r>
      <w:r>
        <w:rPr>
          <w:rStyle w:val="StrongEmphasis"/>
        </w:rPr>
        <w:t>Consequence — a 3.2× capacity gain before buying anything.</w:t>
      </w:r>
      <w:r>
        <w:rPr/>
        <w:t xml:space="preserve"> Today one worker thread does CPU and GPU work serially, so throughput is 1 / 1.3 s = </w:t>
      </w:r>
      <w:r>
        <w:rPr>
          <w:rStyle w:val="StrongEmphasis"/>
        </w:rPr>
        <w:t>0.77 photos/s</w:t>
      </w:r>
      <w:r>
        <w:rPr/>
        <w:t xml:space="preserve">. Separate them — a CPU pool feeding a serialized GPU queue — and throughput becomes GPU-bound at 1 / 0.402 s = </w:t>
      </w:r>
      <w:r>
        <w:rPr>
          <w:rStyle w:val="StrongEmphasis"/>
        </w:rPr>
        <w:t>2.49 photos/s.</w:t>
      </w:r>
      <w:r>
        <w:rPr/>
        <w:t xml:space="preserve"> Same hardware, same model, </w:t>
      </w:r>
      <w:r>
        <w:rPr>
          <w:rStyle w:val="StrongEmphasis"/>
        </w:rPr>
        <w:t>3.2× the photographs.</w:t>
      </w:r>
      <w:r>
        <w:rPr/>
        <w:t xml:space="preserve"> This is the cheapest capacity in the entire plan and it is a refactor, not a purchase.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[derived] </w:t>
      </w:r>
      <w:r>
        <w:rPr>
          <w:rStyle w:val="StrongEmphasis"/>
        </w:rPr>
        <w:t>And a second lever on top of it:</w:t>
      </w:r>
      <w:r>
        <w:rPr/>
        <w:t xml:space="preserve"> BiRefNet-lite at 273 ms gives </w:t>
      </w:r>
      <w:r>
        <w:rPr>
          <w:rStyle w:val="StrongEmphasis"/>
        </w:rPr>
        <w:t>3.66 photos/s</w:t>
      </w:r>
      <w:r>
        <w:rPr/>
        <w:t xml:space="preserve"> — a further </w:t>
      </w:r>
      <w:r>
        <w:rPr>
          <w:rStyle w:val="StrongEmphasis"/>
        </w:rPr>
        <w:t>1.47×</w:t>
      </w:r>
      <w:r>
        <w:rPr/>
        <w:t xml:space="preserve"> — at </w:t>
      </w:r>
      <w:r>
        <w:rPr>
          <w:rStyle w:val="StrongEmphasis"/>
        </w:rPr>
        <w:t>half the VRAM</w:t>
      </w:r>
      <w:r>
        <w:rPr/>
        <w:t xml:space="preserve">, so two lite workers fit on a card that held one full worker. Already benchmarked. Combined ceiling: </w:t>
      </w:r>
      <w:r>
        <w:rPr>
          <w:rStyle w:val="StrongEmphasis"/>
        </w:rPr>
        <w:t>4.8× today's throughput with zero capital spend.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Workload model — the assumptions, stated so they can be attacked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[derived] Everything downstream scales off these. They are deliberately </w:t>
      </w:r>
      <w:r>
        <w:rPr>
          <w:rStyle w:val="StrongEmphasis"/>
        </w:rPr>
        <w:t>pessimistic</w:t>
      </w:r>
      <w:r>
        <w:rPr/>
        <w:t xml:space="preserve"> (higher usage = higher cost), so real costs should come in under, not over.</w:t>
      </w:r>
    </w:p>
    <w:tbl>
      <w:tblPr>
        <w:tblW w:w="42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36"/>
        <w:gridCol w:w="1050"/>
        <w:gridCol w:w="1663"/>
      </w:tblGrid>
      <w:tr>
        <w:trPr>
          <w:tblHeader w:val="true"/>
        </w:trPr>
        <w:tc>
          <w:tcPr>
            <w:tcW w:w="153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Parameter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Planning value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Reasoning</w:t>
            </w:r>
          </w:p>
        </w:tc>
      </w:tr>
      <w:tr>
        <w:trPr/>
        <w:tc>
          <w:tcPr>
            <w:tcW w:w="1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Products listed per active artisan per month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3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Steady state after the initial catalog burst</w:t>
            </w:r>
          </w:p>
        </w:tc>
      </w:tr>
      <w:tr>
        <w:trPr/>
        <w:tc>
          <w:tcPr>
            <w:tcW w:w="1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Photographs per product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3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 main, two secondary</w:t>
            </w:r>
          </w:p>
        </w:tc>
      </w:tr>
      <w:tr>
        <w:trPr/>
        <w:tc>
          <w:tcPr>
            <w:tcW w:w="1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Photographs per artisan per month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10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Rounded up from 9</w:t>
            </w:r>
          </w:p>
        </w:tc>
      </w:tr>
      <w:tr>
        <w:trPr/>
        <w:tc>
          <w:tcPr>
            <w:tcW w:w="1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Initial catalog burst, per artisan, one-time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20 products / 60 photos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Digitising existing stock</w:t>
            </w:r>
          </w:p>
        </w:tc>
      </w:tr>
      <w:tr>
        <w:trPr/>
        <w:tc>
          <w:tcPr>
            <w:tcW w:w="1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interpretation calls per product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2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≤</w:t>
            </w:r>
            <w:r>
              <w:rPr/>
              <w:t>5 possible; the on-device tier usually wins, so most send nothing</w:t>
            </w:r>
          </w:p>
        </w:tc>
      </w:tr>
      <w:tr>
        <w:trPr/>
        <w:tc>
          <w:tcPr>
            <w:tcW w:w="1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Description generations per product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1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 + HI in one call</w:t>
            </w:r>
          </w:p>
        </w:tc>
      </w:tr>
      <w:tr>
        <w:trPr/>
        <w:tc>
          <w:tcPr>
            <w:tcW w:w="1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Active-artisan ratio of those onboarded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40%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Conservative for a government scheme</w:t>
            </w:r>
          </w:p>
        </w:tc>
      </w:tr>
      <w:tr>
        <w:trPr/>
        <w:tc>
          <w:tcPr>
            <w:tcW w:w="1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Effective peak hours per day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8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Daylight, rural</w:t>
            </w:r>
          </w:p>
        </w:tc>
      </w:tr>
      <w:tr>
        <w:trPr/>
        <w:tc>
          <w:tcPr>
            <w:tcW w:w="15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headroom on peak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50%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Never plan to 100%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[derived] </w:t>
      </w:r>
      <w:r>
        <w:rPr>
          <w:rStyle w:val="StrongEmphasis"/>
        </w:rPr>
        <w:t>Capacity per GPU, from #1 and the pipelined figure: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>2.49 photos/s × 3,600 × 8 effective hours   = 71,700 photos/day at full rate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>× 50% headroom                              = 35,850 photos/day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>× 30 days                                   ≈ 1,075,000 photos/month per GPU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÷ 10 photos per artisan per month           ≈ 107,000 artisans per GPU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[derived] One GPU serves roughly 100,000 artisans.</w:t>
      </w:r>
      <w:r>
        <w:rPr/>
        <w:t xml:space="preserve"> With BiRefNet-lite, roughly </w:t>
      </w:r>
      <w:r>
        <w:rPr>
          <w:rStyle w:val="StrongEmphasis"/>
        </w:rPr>
        <w:t>158,000.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The GPU is not what limits this system, and that is the single most important costing fact in this document.</w:t>
      </w:r>
      <w:r>
        <w:rPr/>
        <w:t xml:space="preserve"> Every intuition that "AI is expensive" assumes per-image API pricing. We self-host the model that runs on every photograph, precisely so that this line stays flat.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Marginal cost per product — where the money actually goes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[derived] Per </w:t>
      </w:r>
      <w:r>
        <w:rPr>
          <w:rStyle w:val="StrongEmphasis"/>
        </w:rPr>
        <w:t>product</w:t>
      </w:r>
      <w:r>
        <w:rPr/>
        <w:t xml:space="preserve"> (3 photographs), at the assumptions in §2.</w:t>
      </w:r>
    </w:p>
    <w:p>
      <w:pPr>
        <w:pStyle w:val="Heading3"/>
        <w:bidi w:val="0"/>
        <w:jc w:val="left"/>
        <w:rPr/>
      </w:pPr>
      <w:r>
        <w:rPr/>
        <w:t>3.1 GPU compute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[list price] Cloud GPU, </w:t>
      </w:r>
      <w:r>
        <w:rPr>
          <w:rStyle w:val="SourceText"/>
        </w:rPr>
        <w:t>ap-south-1</w:t>
      </w:r>
      <w:r>
        <w:rPr/>
        <w:t xml:space="preserve">, list on-demand — </w:t>
      </w:r>
      <w:r>
        <w:rPr>
          <w:rStyle w:val="StrongEmphasis"/>
        </w:rPr>
        <w:t>verify before quoting</w:t>
      </w:r>
      <w:r>
        <w:rPr/>
        <w:t>:</w:t>
      </w:r>
    </w:p>
    <w:tbl>
      <w:tblPr>
        <w:tblW w:w="33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26"/>
        <w:gridCol w:w="961"/>
        <w:gridCol w:w="601"/>
        <w:gridCol w:w="676"/>
      </w:tblGrid>
      <w:tr>
        <w:trPr>
          <w:tblHeader w:val="true"/>
        </w:trPr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Instance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GPU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~$/hr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~₹/hr</w:t>
            </w:r>
          </w:p>
        </w:tc>
      </w:tr>
      <w:tr>
        <w:trPr/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g4dn.xlarge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T4 16 GB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0.526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46</w:t>
            </w:r>
          </w:p>
        </w:tc>
      </w:tr>
      <w:tr>
        <w:trPr/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g6.xlarge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L4 24 GB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~0.80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70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[derived] At the pipelined 2.49 photos/s ⇒ 8,964 photos/hour ⇒ </w:t>
      </w:r>
      <w:r>
        <w:rPr>
          <w:rStyle w:val="StrongEmphasis"/>
        </w:rPr>
        <w:t>₹0.0051 per photograph</w:t>
      </w:r>
      <w:r>
        <w:rPr/>
        <w:t xml:space="preserve"> on a T4 at ₹46/hr. </w:t>
      </w:r>
      <w:r>
        <w:rPr>
          <w:rStyle w:val="StrongEmphasis"/>
        </w:rPr>
        <w:t>Three photographs ⇒ ₹0.015 per product.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Even at today's un-pipelined 0.77 photos/s it is ₹0.017/photo — </w:t>
      </w:r>
      <w:r>
        <w:rPr>
          <w:rStyle w:val="StrongEmphasis"/>
        </w:rPr>
        <w:t>₹0.05 per product.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GPU inference is not a cost line. It is a rounding error.</w:t>
      </w:r>
      <w:r>
        <w:rPr/>
        <w:t xml:space="preserve"> This is the direct result of decision "CV models self-hosted, LLM via API" (</w:t>
      </w:r>
      <w:r>
        <w:rPr>
          <w:rStyle w:val="SourceText"/>
        </w:rPr>
        <w:t>docs/decisions.md</w:t>
      </w:r>
      <w:r>
        <w:rPr/>
        <w:t xml:space="preserve">) — </w:t>
      </w:r>
      <w:r>
        <w:rPr>
          <w:rStyle w:val="Emphasis"/>
        </w:rPr>
        <w:t>"per-image API pricing kills unit economics on the background-removal path, which runs on every photo."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[list price] </w:t>
      </w:r>
      <w:r>
        <w:rPr>
          <w:rStyle w:val="StrongEmphasis"/>
        </w:rPr>
        <w:t>The counterfactual, for contrast:</w:t>
      </w:r>
      <w:r>
        <w:rPr/>
        <w:t xml:space="preserve"> a hosted background-removal API at ~$0.02/image ≈ </w:t>
      </w:r>
      <w:r>
        <w:rPr>
          <w:rStyle w:val="StrongEmphasis"/>
        </w:rPr>
        <w:t>₹1.76 per photograph</w:t>
      </w:r>
      <w:r>
        <w:rPr/>
        <w:t xml:space="preserve"> — </w:t>
      </w:r>
      <w:r>
        <w:rPr>
          <w:rStyle w:val="StrongEmphasis"/>
        </w:rPr>
        <w:t>345× our marginal cost</w:t>
      </w:r>
      <w:r>
        <w:rPr/>
        <w:t xml:space="preserve">. At 10 million photographs a month that is </w:t>
      </w:r>
      <w:r>
        <w:rPr>
          <w:rStyle w:val="StrongEmphasis"/>
        </w:rPr>
        <w:t>₹17.6 crore a year</w:t>
      </w:r>
      <w:r>
        <w:rPr/>
        <w:t xml:space="preserve"> against roughly </w:t>
      </w:r>
      <w:r>
        <w:rPr>
          <w:rStyle w:val="StrongEmphasis"/>
        </w:rPr>
        <w:t>₹5 lakh</w:t>
      </w:r>
      <w:r>
        <w:rPr/>
        <w:t xml:space="preserve"> of self-hosted compute. That single decision is the largest cost avoidance in the project.</w:t>
      </w:r>
    </w:p>
    <w:p>
      <w:pPr>
        <w:pStyle w:val="Heading3"/>
        <w:bidi w:val="0"/>
        <w:jc w:val="left"/>
        <w:rPr/>
      </w:pPr>
      <w:r>
        <w:rPr/>
        <w:t>3.2 LLM API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[list price] List prices, per million tokens — </w:t>
      </w:r>
      <w:r>
        <w:rPr>
          <w:rStyle w:val="StrongEmphasis"/>
        </w:rPr>
        <w:t>verify</w:t>
      </w:r>
      <w:r>
        <w:rPr/>
        <w:t>:</w:t>
      </w:r>
    </w:p>
    <w:tbl>
      <w:tblPr>
        <w:tblW w:w="42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91"/>
        <w:gridCol w:w="1096"/>
        <w:gridCol w:w="706"/>
        <w:gridCol w:w="856"/>
      </w:tblGrid>
      <w:tr>
        <w:trPr>
          <w:tblHeader w:val="true"/>
        </w:trPr>
        <w:tc>
          <w:tcPr>
            <w:tcW w:w="159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Model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Role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In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Out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deepseek/deepseek-v4-flash</w:t>
            </w:r>
            <w:r>
              <w:rPr/>
              <w:t xml:space="preserve"> (OpenRouter)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→ field value; slot harvest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~$0.10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~$0.30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claude-sonnet-5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 + HI description, category mapping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~$3.00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~$15.00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Emphasis"/>
              </w:rPr>
              <w:t>(vision model, TBD)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/catalog/prefill</w:t>
            </w:r>
            <w:r>
              <w:rPr/>
              <w:t xml:space="preserve"> — photo → nullable field guesses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[derived] Per product:</w:t>
      </w:r>
    </w:p>
    <w:tbl>
      <w:tblPr>
        <w:tblW w:w="42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27"/>
        <w:gridCol w:w="988"/>
        <w:gridCol w:w="1234"/>
      </w:tblGrid>
      <w:tr>
        <w:trPr>
          <w:tblHeader w:val="true"/>
        </w:trPr>
        <w:tc>
          <w:tcPr>
            <w:tcW w:w="2027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Call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Tokens (in / out)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Cost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interpret × 2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400 / 60 each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$0.00012 ≈ </w:t>
            </w:r>
            <w:r>
              <w:rPr>
                <w:rStyle w:val="StrongEmphasis"/>
              </w:rPr>
              <w:t>₹0.01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Description, EN + HI + structured fields × 1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1,800 / 900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$0.0189 ≈ </w:t>
            </w:r>
            <w:r>
              <w:rPr>
                <w:rStyle w:val="StrongEmphasis"/>
              </w:rPr>
              <w:t>₹1.66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Subtotal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≈ ₹</w:t>
            </w:r>
            <w:r>
              <w:rPr>
                <w:rStyle w:val="StrongEmphasis"/>
              </w:rPr>
              <w:t>1.67 per product</w:t>
            </w:r>
          </w:p>
        </w:tc>
      </w:tr>
    </w:tbl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[warning] </w:t>
      </w:r>
      <w:r>
        <w:rPr>
          <w:rStyle w:val="StrongEmphasis"/>
        </w:rPr>
        <w:t>Two changes from the 2026-09-03 merge.</w:t>
      </w:r>
      <w:r>
        <w:rPr/>
        <w:t xml:space="preserve"> The comparables-normalisation call is </w:t>
      </w:r>
      <w:r>
        <w:rPr>
          <w:rStyle w:val="StrongEmphasis"/>
        </w:rPr>
        <w:t>gone</w:t>
      </w:r>
      <w:r>
        <w:rPr/>
        <w:t xml:space="preserve"> — </w:t>
      </w:r>
      <w:r>
        <w:rPr>
          <w:rStyle w:val="SourceText"/>
        </w:rPr>
        <w:t>comps.normalize()</w:t>
      </w:r>
      <w:r>
        <w:rPr/>
        <w:t xml:space="preserve"> was deleted, so </w:t>
      </w:r>
      <w:r>
        <w:rPr>
          <w:rStyle w:val="StrongEmphasis"/>
        </w:rPr>
        <w:t>no model touches the price path at all</w:t>
      </w:r>
      <w:r>
        <w:rPr/>
        <w:t xml:space="preserve"> now. And </w:t>
      </w:r>
      <w:r>
        <w:rPr>
          <w:rStyle w:val="SourceText"/>
        </w:rPr>
        <w:t>/catalog/prefill</w:t>
      </w:r>
      <w:r>
        <w:rPr/>
        <w:t xml:space="preserve"> is </w:t>
      </w:r>
      <w:r>
        <w:rPr>
          <w:rStyle w:val="StrongEmphasis"/>
        </w:rPr>
        <w:t>built</w:t>
      </w:r>
      <w:r>
        <w:rPr/>
        <w:t xml:space="preserve">, which adds a vision call this table does not yet price: vision tokens cost more than text, and </w:t>
      </w:r>
      <w:r>
        <w:rPr>
          <w:rStyle w:val="StrongEmphasis"/>
        </w:rPr>
        <w:t>this is the one line in the cost model that will grow.</w:t>
      </w:r>
      <w:r>
        <w:rPr/>
        <w:t xml:space="preserve"> It also buys back interview time, so net cost per product may fall — but that must be measured, not assumed.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The description call is 99% of our LLM spend.</w:t>
      </w:r>
      <w:r>
        <w:rPr/>
        <w:t xml:space="preserve"> Everything else is noise. That is the line to optimise, and §5 of Part B gives the crossover volume at which self-hosting it becomes cheaper.</w:t>
      </w:r>
    </w:p>
    <w:p>
      <w:pPr>
        <w:pStyle w:val="Heading3"/>
        <w:bidi w:val="0"/>
        <w:jc w:val="left"/>
        <w:rPr/>
      </w:pPr>
      <w:r>
        <w:rPr/>
        <w:t>3.3 Speech — the single largest variable, and it is a procurement question not a technical one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[warning] </w:t>
      </w:r>
      <w:r>
        <w:rPr>
          <w:rStyle w:val="StrongEmphasis"/>
        </w:rPr>
        <w:t>Updated 2026-09-03.</w:t>
      </w:r>
      <w:r>
        <w:rPr/>
        <w:t xml:space="preserve"> Speech is now </w:t>
      </w:r>
      <w:r>
        <w:rPr>
          <w:rStyle w:val="StrongEmphasis"/>
        </w:rPr>
        <w:t>live on Sarvam</w:t>
      </w:r>
      <w:r>
        <w:rPr/>
        <w:t xml:space="preserve"> (</w:t>
      </w:r>
      <w:r>
        <w:rPr>
          <w:rStyle w:val="SourceText"/>
        </w:rPr>
        <w:t>bulbul:v3</w:t>
      </w:r>
      <w:r>
        <w:rPr/>
        <w:t xml:space="preserve"> TTS, Sarvam ASR, </w:t>
      </w:r>
      <w:r>
        <w:rPr>
          <w:rStyle w:val="SourceText"/>
        </w:rPr>
        <w:t>web/api/routers/voice.py</w:t>
      </w:r>
      <w:r>
        <w:rPr/>
        <w:t xml:space="preserve">). Bhashini is the strategic target, </w:t>
      </w:r>
      <w:r>
        <w:rPr>
          <w:rStyle w:val="StrongEmphasis"/>
        </w:rPr>
        <w:t>not the current provider.</w:t>
      </w:r>
      <w:r>
        <w:rPr/>
        <w:t xml:space="preserve"> The cost model below therefore has a </w:t>
      </w:r>
      <w:r>
        <w:rPr>
          <w:rStyle w:val="Emphasis"/>
        </w:rPr>
        <w:t>real</w:t>
      </w:r>
      <w:r>
        <w:rPr/>
        <w:t xml:space="preserve"> middle row, not two hypotheticals.</w:t>
      </w:r>
    </w:p>
    <w:tbl>
      <w:tblPr>
        <w:tblW w:w="42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33"/>
        <w:gridCol w:w="1331"/>
        <w:gridCol w:w="1685"/>
      </w:tblGrid>
      <w:tr>
        <w:trPr>
          <w:tblHeader w:val="true"/>
        </w:trPr>
        <w:tc>
          <w:tcPr>
            <w:tcW w:w="1233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Path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Per product (≈72 s speech in, plus TTS out)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2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Bhashini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0</w:t>
            </w:r>
            <w:r>
              <w:rPr/>
              <w:t xml:space="preserve"> on the free prototyping tier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[open] </w:t>
            </w:r>
            <w:r>
              <w:rPr>
                <w:rStyle w:val="SourceText"/>
              </w:rPr>
              <w:t>docs/decisions.md</w:t>
            </w:r>
            <w:r>
              <w:rPr/>
              <w:t xml:space="preserve"> #5 </w:t>
            </w:r>
            <w:r>
              <w:rPr>
                <w:rStyle w:val="StrongEmphasis"/>
              </w:rPr>
              <w:t>open</w:t>
            </w:r>
            <w:r>
              <w:rPr/>
              <w:t xml:space="preserve"> — unused, terms unconfirmed</w:t>
            </w:r>
          </w:p>
        </w:tc>
      </w:tr>
      <w:tr>
        <w:trPr/>
        <w:tc>
          <w:tcPr>
            <w:tcW w:w="12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Sarvam</w:t>
            </w:r>
            <w:r>
              <w:rPr/>
              <w:t xml:space="preserve"> — what runs today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[list price] </w:t>
            </w:r>
            <w:r>
              <w:rPr>
                <w:rStyle w:val="StrongEmphasis"/>
              </w:rPr>
              <w:t>rate not yet confirmed for volume — verify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[yes] </w:t>
            </w:r>
            <w:r>
              <w:rPr>
                <w:rStyle w:val="StrongEmphasis"/>
              </w:rPr>
              <w:t>Live and measured working</w:t>
            </w:r>
          </w:p>
        </w:tc>
      </w:tr>
      <w:tr>
        <w:trPr/>
        <w:tc>
          <w:tcPr>
            <w:tcW w:w="12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[list price] Global commercial STT</w:t>
            </w:r>
          </w:p>
        </w:tc>
        <w:tc>
          <w:tcPr>
            <w:tcW w:w="1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~$0.006–0.016 per 15 s ⇒ ~$0.03–0.08 ≈ </w:t>
            </w:r>
            <w:r>
              <w:rPr>
                <w:rStyle w:val="StrongEmphasis"/>
              </w:rPr>
              <w:t>₹2.60–₹7.00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Ceiling, not our path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[derived] </w:t>
      </w:r>
      <w:r>
        <w:rPr>
          <w:rStyle w:val="StrongEmphasis"/>
        </w:rPr>
        <w:t>At 10 million products a year, the spread between the free tier and the commercial ceiling is ₹0 versus ₹26–70 crore.</w:t>
      </w:r>
      <w:r>
        <w:rPr/>
        <w:t xml:space="preserve"> Sarvam sits somewhere between and </w:t>
      </w:r>
      <w:r>
        <w:rPr>
          <w:rStyle w:val="StrongEmphasis"/>
        </w:rPr>
        <w:t>we do not yet know where</w:t>
      </w:r>
      <w:r>
        <w:rPr/>
        <w:t xml:space="preserve"> — which makes its volume rate the single most valuable unknown in this document.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Two things to establish, and neither is engineering work:</w:t>
      </w:r>
      <w:r>
        <w:rPr/>
        <w:t xml:space="preserve"> Sarvam's committed-volume pricing, and whether Bhashini's terms cover us. </w:t>
      </w:r>
      <w:r>
        <w:rPr>
          <w:rStyle w:val="StrongEmphasis"/>
        </w:rPr>
        <w:t>The provider swap costs two functions</w:t>
      </w:r>
      <w:r>
        <w:rPr/>
        <w:t xml:space="preserve"> — </w:t>
      </w:r>
      <w:r>
        <w:rPr>
          <w:rStyle w:val="SourceText"/>
        </w:rPr>
        <w:t>_sarvam_tts</w:t>
      </w:r>
      <w:r>
        <w:rPr/>
        <w:t xml:space="preserve"> and </w:t>
      </w:r>
      <w:r>
        <w:rPr>
          <w:rStyle w:val="SourceText"/>
        </w:rPr>
        <w:t>_sarvam_asr</w:t>
      </w:r>
      <w:r>
        <w:rPr/>
        <w:t xml:space="preserve"> are the only code that changes — so this is a procurement decision with an already-built escape hatch, which is the cheapest position to negotiate from.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And TTS output is already off the variable line entirely.</w:t>
      </w:r>
      <w:r>
        <w:rPr/>
        <w:t xml:space="preserve"> Web Speech API for Indic TTS is on the </w:t>
      </w:r>
      <w:r>
        <w:rPr>
          <w:rStyle w:val="StrongEmphasis"/>
        </w:rPr>
        <w:t>rejected</w:t>
      </w:r>
      <w:r>
        <w:rPr/>
        <w:t xml:space="preserve"> list in </w:t>
      </w:r>
      <w:r>
        <w:rPr>
          <w:rStyle w:val="SourceText"/>
        </w:rPr>
        <w:t>CLAUDE.md</w:t>
      </w:r>
      <w:r>
        <w:rPr/>
        <w:t xml:space="preserve"> (unreliable voice availability across handsets) — </w:t>
      </w:r>
      <w:r>
        <w:rPr>
          <w:rStyle w:val="StrongEmphasis"/>
        </w:rPr>
        <w:t>pre-generated audio instead.</w:t>
      </w:r>
      <w:r>
        <w:rPr/>
        <w:t xml:space="preserve"> [derived] Roughly 2,000 strings × 5 languages, a </w:t>
      </w:r>
      <w:r>
        <w:rPr>
          <w:rStyle w:val="StrongEmphasis"/>
        </w:rPr>
        <w:t>one-time ₹10,000–20,000</w:t>
      </w:r>
      <w:r>
        <w:rPr/>
        <w:t xml:space="preserve">, then </w:t>
      </w:r>
      <w:r>
        <w:rPr>
          <w:rStyle w:val="StrongEmphasis"/>
        </w:rPr>
        <w:t>₹0 marginal forever</w:t>
      </w:r>
      <w:r>
        <w:rPr/>
        <w:t>, with no rate limit and no latency. A decision taken for reliability removes a recurring cost line.</w:t>
      </w:r>
    </w:p>
    <w:p>
      <w:pPr>
        <w:pStyle w:val="Heading3"/>
        <w:bidi w:val="0"/>
        <w:jc w:val="left"/>
        <w:rPr/>
      </w:pPr>
      <w:r>
        <w:rPr/>
        <w:t>3.4 Storage and bandwidth</w:t>
      </w:r>
    </w:p>
    <w:p>
      <w:pPr>
        <w:pStyle w:val="TextBody"/>
        <w:bidi w:val="0"/>
        <w:spacing w:before="0" w:after="283"/>
        <w:jc w:val="left"/>
        <w:rPr/>
      </w:pPr>
      <w:r>
        <w:rPr/>
        <w:t>[derived] Per product, with rule 2 (</w:t>
      </w:r>
      <w:r>
        <w:rPr>
          <w:rStyle w:val="Emphasis"/>
        </w:rPr>
        <w:t>never destroy the original; store a recipe, render on demand</w:t>
      </w:r>
      <w:r>
        <w:rPr/>
        <w:t>):</w:t>
      </w:r>
    </w:p>
    <w:tbl>
      <w:tblPr>
        <w:tblW w:w="42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62"/>
        <w:gridCol w:w="1287"/>
      </w:tblGrid>
      <w:tr>
        <w:trPr>
          <w:tblHeader w:val="true"/>
        </w:trPr>
        <w:tc>
          <w:tcPr>
            <w:tcW w:w="2962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Object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Size</w:t>
            </w:r>
          </w:p>
        </w:tc>
      </w:tr>
      <w:tr>
        <w:trPr/>
        <w:tc>
          <w:tcPr>
            <w:tcW w:w="29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Originals ×3, private bucket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~12 MB</w:t>
            </w:r>
          </w:p>
        </w:tc>
      </w:tr>
      <w:tr>
        <w:trPr/>
        <w:tc>
          <w:tcPr>
            <w:tcW w:w="29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2000 px masters ×3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~1.8 MB</w:t>
            </w:r>
          </w:p>
        </w:tc>
      </w:tr>
      <w:tr>
        <w:trPr/>
        <w:tc>
          <w:tcPr>
            <w:tcW w:w="29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Rendered variants (primary only; rest rendered on demand from the recipe)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~0.4 MB</w:t>
            </w:r>
          </w:p>
        </w:tc>
      </w:tr>
      <w:tr>
        <w:trPr/>
        <w:tc>
          <w:tcPr>
            <w:tcW w:w="29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Total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≈</w:t>
            </w:r>
            <w:r>
              <w:rPr>
                <w:rStyle w:val="StrongEmphasis"/>
              </w:rPr>
              <w:t>14 MB per product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[list price] Object storage, per GB-month: AWS S3 </w:t>
      </w:r>
      <w:r>
        <w:rPr>
          <w:rStyle w:val="SourceText"/>
        </w:rPr>
        <w:t>ap-south-1</w:t>
      </w:r>
      <w:r>
        <w:rPr/>
        <w:t xml:space="preserve"> Standard ~$0.025 ≈ </w:t>
      </w:r>
      <w:r>
        <w:rPr>
          <w:rStyle w:val="StrongEmphasis"/>
        </w:rPr>
        <w:t>₹2.20</w:t>
      </w:r>
      <w:r>
        <w:rPr/>
        <w:t xml:space="preserve"> · Cloudflare R2 ~$0.015 ≈ </w:t>
      </w:r>
      <w:r>
        <w:rPr>
          <w:rStyle w:val="StrongEmphasis"/>
        </w:rPr>
        <w:t>₹1.32</w:t>
      </w:r>
      <w:r>
        <w:rPr/>
        <w:t xml:space="preserve"> · S3 Glacier Instant ~$0.004 ≈ </w:t>
      </w:r>
      <w:r>
        <w:rPr>
          <w:rStyle w:val="StrongEmphasis"/>
        </w:rPr>
        <w:t>₹0.35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[derived] </w:t>
      </w:r>
      <w:r>
        <w:rPr>
          <w:rStyle w:val="StrongEmphasis"/>
        </w:rPr>
        <w:t>₹0.031/product/month</w:t>
      </w:r>
      <w:r>
        <w:rPr/>
        <w:t xml:space="preserve"> on S3, </w:t>
      </w:r>
      <w:r>
        <w:rPr>
          <w:rStyle w:val="StrongEmphasis"/>
        </w:rPr>
        <w:t>₹0.019</w:t>
      </w:r>
      <w:r>
        <w:rPr/>
        <w:t xml:space="preserve"> on R2. </w:t>
      </w:r>
      <w:r>
        <w:rPr>
          <w:rStyle w:val="StrongEmphasis"/>
        </w:rPr>
        <w:t>Tiering the originals to archive after 90 days cuts the total by ~70%</w:t>
      </w:r>
      <w:r>
        <w:rPr/>
        <w:t>, because originals are 86% of the bytes and are read almost never — they exist for rule 2, not for serving.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[list price] </w:t>
      </w:r>
      <w:r>
        <w:rPr>
          <w:rStyle w:val="StrongEmphasis"/>
        </w:rPr>
        <w:t>Egress is where the real money is, and it is a vendor choice, not an engineering one:</w:t>
      </w:r>
    </w:p>
    <w:tbl>
      <w:tblPr>
        <w:tblW w:w="42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0"/>
        <w:gridCol w:w="972"/>
        <w:gridCol w:w="1037"/>
        <w:gridCol w:w="1100"/>
      </w:tblGrid>
      <w:tr>
        <w:trPr>
          <w:tblHeader w:val="true"/>
        </w:trPr>
        <w:tc>
          <w:tcPr>
            <w:tcW w:w="1140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Provider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Egress per GB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[derived] At 5 TB/month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[derived] At 100 TB/month</w:t>
            </w:r>
          </w:p>
        </w:tc>
      </w:tr>
      <w:tr>
        <w:trPr/>
        <w:tc>
          <w:tcPr>
            <w:tcW w:w="1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AWS </w:t>
            </w:r>
            <w:r>
              <w:rPr>
                <w:rStyle w:val="SourceText"/>
              </w:rPr>
              <w:t>ap-south-1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~$0.1093 ≈ </w:t>
            </w:r>
            <w:r>
              <w:rPr>
                <w:rStyle w:val="StrongEmphasis"/>
              </w:rPr>
              <w:t>₹9.62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49,200/mo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9.84 lakh/mo</w:t>
            </w:r>
          </w:p>
        </w:tc>
      </w:tr>
      <w:tr>
        <w:trPr/>
        <w:tc>
          <w:tcPr>
            <w:tcW w:w="1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Cloudflare R2</w:t>
            </w:r>
          </w:p>
        </w:tc>
        <w:tc>
          <w:tcPr>
            <w:tcW w:w="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$0 — zero egress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0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0</w:t>
            </w:r>
          </w:p>
        </w:tc>
      </w:tr>
    </w:tbl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[derived] Choosing R2 over S3 for the public bucket saves ~₹1.2 crore a year at national scale, for an afternoon of work.</w:t>
      </w:r>
      <w:r>
        <w:rPr/>
        <w:t xml:space="preserve"> The marketplace is a public catalog of images; egress </w:t>
      </w:r>
      <w:r>
        <w:rPr>
          <w:rStyle w:val="Emphasis"/>
        </w:rPr>
        <w:t>is</w:t>
      </w:r>
      <w:r>
        <w:rPr/>
        <w:t xml:space="preserve"> the product. This is the second-largest cost decision after Bhashini, and neither of them is a hard problem.</w:t>
      </w:r>
    </w:p>
    <w:p>
      <w:pPr>
        <w:pStyle w:val="Heading3"/>
        <w:bidi w:val="0"/>
        <w:jc w:val="left"/>
        <w:rPr/>
      </w:pPr>
      <w:r>
        <w:rPr/>
        <w:t>3.5 The per-product total</w:t>
      </w:r>
    </w:p>
    <w:p>
      <w:pPr>
        <w:pStyle w:val="TextBody"/>
        <w:bidi w:val="0"/>
        <w:spacing w:before="0" w:after="283"/>
        <w:jc w:val="left"/>
        <w:rPr/>
      </w:pPr>
      <w:r>
        <w:rPr/>
        <w:t>[derived] Assembling §3.1–§3.4:</w:t>
      </w:r>
    </w:p>
    <w:tbl>
      <w:tblPr>
        <w:tblW w:w="42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38"/>
        <w:gridCol w:w="1006"/>
        <w:gridCol w:w="1405"/>
      </w:tblGrid>
      <w:tr>
        <w:trPr>
          <w:tblHeader w:val="true"/>
        </w:trPr>
        <w:tc>
          <w:tcPr>
            <w:tcW w:w="1838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Line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With Bhashini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With commercial ASR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GPU compute (3 photos)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0.02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0.02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LLM — description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1.66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1.66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LLM — interpret + comps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0.02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0.02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Speech (ASR) — Sarvam, rate unconfirmed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0.00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4.50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Storage (year 1, R2, tiered)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0.10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0.10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Egress (R2)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0.00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>0.00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Marginal cost per product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≈ ₹</w:t>
            </w:r>
            <w:r>
              <w:rPr>
                <w:rStyle w:val="StrongEmphasis"/>
              </w:rPr>
              <w:t>1.80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≈ ₹</w:t>
            </w:r>
            <w:r>
              <w:rPr>
                <w:rStyle w:val="StrongEmphasis"/>
              </w:rPr>
              <w:t>6.30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[derived] </w:t>
      </w:r>
      <w:r>
        <w:rPr>
          <w:rStyle w:val="StrongEmphasis"/>
        </w:rPr>
        <w:t>Per artisan per year</w:t>
      </w:r>
      <w:r>
        <w:rPr/>
        <w:t>, at 36 products (3/month):</w:t>
      </w:r>
    </w:p>
    <w:tbl>
      <w:tblPr>
        <w:tblW w:w="42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20"/>
        <w:gridCol w:w="1324"/>
        <w:gridCol w:w="1805"/>
      </w:tblGrid>
      <w:tr>
        <w:trPr>
          <w:tblHeader w:val="true"/>
        </w:trPr>
        <w:tc>
          <w:tcPr>
            <w:tcW w:w="1120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24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With Bhashini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With commercial ASR</w:t>
            </w:r>
          </w:p>
        </w:tc>
      </w:tr>
      <w:tr>
        <w:trPr/>
        <w:tc>
          <w:tcPr>
            <w:tcW w:w="11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Marginal cost</w:t>
            </w:r>
          </w:p>
        </w:tc>
        <w:tc>
          <w:tcPr>
            <w:tcW w:w="13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65/artisan/year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227/artisan/year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comparison that makes this land</w:t>
      </w:r>
      <w:r>
        <w:rPr/>
        <w:t xml:space="preserve"> — [list price] market rates, verify before quoting:</w:t>
      </w:r>
    </w:p>
    <w:tbl>
      <w:tblPr>
        <w:tblW w:w="42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42"/>
        <w:gridCol w:w="1607"/>
      </w:tblGrid>
      <w:tr>
        <w:trPr>
          <w:tblHeader w:val="true"/>
        </w:trPr>
        <w:tc>
          <w:tcPr>
            <w:tcW w:w="2642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Alternative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Typical cost</w:t>
            </w:r>
          </w:p>
        </w:tc>
      </w:tr>
      <w:tr>
        <w:trPr/>
        <w:tc>
          <w:tcPr>
            <w:tcW w:w="26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Manual product cataloging service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 xml:space="preserve">200–500 </w:t>
            </w:r>
            <w:r>
              <w:rPr>
                <w:rStyle w:val="StrongEmphasis"/>
              </w:rPr>
              <w:t>per SKU</w:t>
            </w:r>
          </w:p>
        </w:tc>
      </w:tr>
      <w:tr>
        <w:trPr/>
        <w:tc>
          <w:tcPr>
            <w:tcW w:w="26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GeM catalogue consultant, per seller onboarding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₹</w:t>
            </w:r>
            <w:r>
              <w:rPr/>
              <w:t xml:space="preserve">5,000–15,000 </w:t>
            </w:r>
            <w:r>
              <w:rPr>
                <w:rStyle w:val="StrongEmphasis"/>
              </w:rPr>
              <w:t>one-time</w:t>
            </w:r>
          </w:p>
        </w:tc>
      </w:tr>
      <w:tr>
        <w:trPr/>
        <w:tc>
          <w:tcPr>
            <w:tcW w:w="26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Ours, per artisan, per year, unlimited listings</w:t>
            </w:r>
          </w:p>
        </w:tc>
        <w:tc>
          <w:tcPr>
            <w:tcW w:w="16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65</w:t>
            </w:r>
          </w:p>
        </w:tc>
      </w:tr>
    </w:tbl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A GeM consultant charges more to onboard </w:t>
      </w:r>
      <w:r>
        <w:rPr>
          <w:rStyle w:val="StrongEmphasis"/>
        </w:rPr>
        <w:t>one</w:t>
      </w:r>
      <w:r>
        <w:rPr/>
        <w:t xml:space="preserve"> seller than we spend on </w:t>
      </w:r>
      <w:r>
        <w:rPr>
          <w:rStyle w:val="StrongEmphasis"/>
        </w:rPr>
        <w:t>a hundred artisans for a year.</w:t>
      </w:r>
      <w:r>
        <w:rPr/>
        <w:t xml:space="preserve"> That is the economic argument, and it does not depend on any number being precise to better than a factor of two.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What is deliberately NOT in the marginal cost, and must not be forgotten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Marginal cost is the seductive number.</w:t>
      </w:r>
      <w:r>
        <w:rPr/>
        <w:t xml:space="preserve"> These four lines are not marginal, do not shrink with scale, and at national scale </w:t>
      </w:r>
      <w:r>
        <w:rPr>
          <w:rStyle w:val="StrongEmphasis"/>
        </w:rPr>
        <w:t>three of them are larger than everything in §3.</w:t>
      </w:r>
    </w:p>
    <w:tbl>
      <w:tblPr>
        <w:tblW w:w="42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50"/>
        <w:gridCol w:w="1685"/>
        <w:gridCol w:w="1014"/>
      </w:tblGrid>
      <w:tr>
        <w:trPr>
          <w:tblHeader w:val="true"/>
        </w:trPr>
        <w:tc>
          <w:tcPr>
            <w:tcW w:w="1550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Line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Why it is not marginal</w:t>
            </w:r>
          </w:p>
        </w:tc>
        <w:tc>
          <w:tcPr>
            <w:tcW w:w="1014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Where it is costed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GeM order reconciliation labour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GeM has no order API. A human reads the dashboard</w:t>
            </w:r>
          </w:p>
        </w:tc>
        <w:tc>
          <w:tcPr>
            <w:tcW w:w="10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Part B §4 — </w:t>
            </w:r>
            <w:r>
              <w:rPr>
                <w:rStyle w:val="StrongEmphasis"/>
              </w:rPr>
              <w:t>the largest single line at scale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TCS collection + monthly GSTR-8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We are a seller-side ECO (CBIC Circular 194/06/2023). Compliance is ours</w:t>
            </w:r>
          </w:p>
        </w:tc>
        <w:tc>
          <w:tcPr>
            <w:tcW w:w="10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 B §4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DPDP obligations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Named DPO, consent manager, breach process, retention</w:t>
            </w:r>
          </w:p>
        </w:tc>
        <w:tc>
          <w:tcPr>
            <w:tcW w:w="10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 B §4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Fixed infrastructure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Postgres HA, Redis, app tier, CDN, monitoring — these exist at 2,000 artisans and at 10 lakh</w:t>
            </w:r>
          </w:p>
        </w:tc>
        <w:tc>
          <w:tcPr>
            <w:tcW w:w="10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 B §2</w:t>
            </w:r>
          </w:p>
        </w:tc>
      </w:tr>
    </w:tbl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A costing that only shows marginal cost is a costing designed to win an argument, not to run a programme.</w:t>
      </w:r>
      <w:r>
        <w:rPr/>
        <w:t xml:space="preserve"> Part B carries the full picture.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The three sentences to say if a judge asks about cost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"One GPU serves about a hundred thousand artisans, because we self-host the model that runs on every photograph instead of paying per image — that one decision avoids about ₹17 crore a year at national scale."</w:t>
      </w:r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"Marginal cost is about ₹65 per artisan per year. A GeM consultant charges ₹5,000 to onboard one seller."</w:t>
      </w:r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left="709" w:hanging="283"/>
        <w:jc w:val="left"/>
        <w:rPr/>
      </w:pPr>
      <w:r>
        <w:rPr>
          <w:rStyle w:val="StrongEmphasis"/>
        </w:rPr>
        <w:t>"Our largest cost is not compute. It is a human reading the GeM dashboard, because GeM has no order API — and a single MoU would remove it."</w:t>
      </w:r>
      <w:r>
        <w:rPr/>
        <w:t xml:space="preserve"> 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erif;serif" w:hAnsi="Liberation Serif;serif" w:eastAsia="Liberation Serif;serif" w:cs="Liberation Serif;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4" w:color="16365C"/>
      </w:pBdr>
    </w:pPr>
    <w:rPr>
      <w:rFonts w:ascii="Liberation Sans;sans-serif" w:hAnsi="Liberation Sans;sans-serif" w:eastAsia="Liberation Sans;sans-serif" w:cs="Liberation Sans;sans-serif"/>
      <w:b/>
      <w:bCs/>
      <w:color w:val="16365C"/>
      <w:sz w:val="38"/>
      <w:szCs w:val="38"/>
    </w:rPr>
  </w:style>
  <w:style w:type="paragraph" w:styleId="Heading2">
    <w:name w:val="Heading 2"/>
    <w:basedOn w:val="Heading"/>
    <w:next w:val="TextBody"/>
    <w:qFormat/>
    <w:pPr>
      <w:spacing w:before="320" w:after="120"/>
      <w:outlineLvl w:val="1"/>
    </w:pPr>
    <w:rPr>
      <w:rFonts w:ascii="Liberation Sans;sans-serif" w:hAnsi="Liberation Sans;sans-serif" w:eastAsia="Liberation Sans;sans-serif" w:cs="Liberation Sans;sans-serif"/>
      <w:b/>
      <w:bCs/>
      <w:color w:val="16365C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ans;sans-serif" w:hAnsi="Liberation Sans;sans-serif" w:eastAsia="Liberation Sans;sans-serif" w:cs="Liberation Sans;sans-serif"/>
      <w:b/>
      <w:bCs/>
      <w:color w:val="333333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8"/>
      <w:szCs w:val="18"/>
      <w:shd w:fill="F2F2F2" w:val="clear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18" w:space="6" w:color="16365C"/>
      </w:pBdr>
      <w:shd w:fill="F6F6F6" w:val="clear"/>
      <w:spacing w:before="0" w:after="0"/>
    </w:pPr>
    <w:rPr>
      <w:rFonts w:ascii="Liberation Mono;monospace" w:hAnsi="Liberation Mono;monospace" w:eastAsia="Liberation Mono;monospace" w:cs="Liberation Mono;monospace"/>
      <w:sz w:val="17"/>
      <w:szCs w:val="17"/>
    </w:rPr>
  </w:style>
  <w:style w:type="paragraph" w:styleId="Quotations">
    <w:name w:val="Quotations"/>
    <w:basedOn w:val="Normal"/>
    <w:qFormat/>
    <w:pPr>
      <w:pBdr>
        <w:left w:val="single" w:sz="18" w:space="10" w:color="CC0000"/>
      </w:pBdr>
      <w:spacing w:before="0" w:after="283"/>
      <w:ind w:left="567" w:right="567" w:hanging="0"/>
    </w:pPr>
    <w:rPr>
      <w:i/>
      <w:iCs/>
      <w:color w:val="444444"/>
    </w:rPr>
  </w:style>
  <w:style w:type="paragraph" w:styleId="TableHeading">
    <w:name w:val="Table Heading"/>
    <w:basedOn w:val="TableContents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08-costing-unit-economics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