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Part 2 — PS Feature 1: AI Image Enhancer &amp; Studio</w:t>
      </w:r>
    </w:p>
    <w:p>
      <w:pPr>
        <w:pStyle w:val="TextBody"/>
        <w:bidi w:val="0"/>
        <w:spacing w:before="0" w:after="283"/>
        <w:jc w:val="left"/>
        <w:rPr/>
      </w:pPr>
      <w:r>
        <w:rPr/>
        <w:t>The part of the system with the most measured evidence behind it, and one large admitted hole.</w:t>
      </w:r>
    </w:p>
    <w:p>
      <w:pPr>
        <w:pStyle w:val="HorizontalLine"/>
        <w:pBdr>
          <w:bottom w:val="double" w:sz="2" w:space="0" w:color="808080"/>
        </w:pBdr>
        <w:bidi w:val="0"/>
        <w:spacing w:before="0" w:after="283"/>
        <w:jc w:val="left"/>
        <w:rPr/>
      </w:pPr>
      <w:r>
        <w:rPr/>
      </w:r>
    </w:p>
    <w:p>
      <w:pPr>
        <w:pStyle w:val="Heading2"/>
        <w:bidi w:val="0"/>
        <w:jc w:val="left"/>
        <w:rPr/>
      </w:pPr>
      <w:r>
        <w:rPr/>
        <w:t>Q2.1 — "Background removal is a solved commodity. remove.bg has done it for years. What is AI about your image feature?"</w:t>
      </w:r>
    </w:p>
    <w:p>
      <w:pPr>
        <w:pStyle w:val="TextBody"/>
        <w:bidi w:val="0"/>
        <w:spacing w:before="0" w:after="283"/>
        <w:jc w:val="left"/>
        <w:rPr/>
      </w:pPr>
      <w:r>
        <w:rPr>
          <w:rStyle w:val="StrongEmphasis"/>
        </w:rPr>
        <w:t>Think.</w:t>
      </w:r>
      <w:r>
        <w:rPr/>
        <w:t xml:space="preserve"> Concede the commodity immediately — arguing it is novel is how we lose. The defensible claim is about </w:t>
      </w:r>
      <w:r>
        <w:rPr>
          <w:rStyle w:val="Emphasis"/>
        </w:rPr>
        <w:t>which</w:t>
      </w:r>
      <w:r>
        <w:rPr/>
        <w:t xml:space="preserve"> model, chosen how, and about the four stages that are not matting.</w:t>
      </w:r>
    </w:p>
    <w:p>
      <w:pPr>
        <w:pStyle w:val="TextBody"/>
        <w:bidi w:val="0"/>
        <w:spacing w:before="0" w:after="283"/>
        <w:jc w:val="left"/>
        <w:rPr/>
      </w:pPr>
      <w:r>
        <w:rPr>
          <w:rStyle w:val="StrongEmphasis"/>
        </w:rPr>
        <w:t>Today — the concession.</w:t>
      </w:r>
      <w:r>
        <w:rPr/>
        <w:t xml:space="preserve"> Correct. Matting is a commodity, and we say so in our own docs: </w:t>
      </w:r>
      <w:r>
        <w:rPr>
          <w:rStyle w:val="Emphasis"/>
        </w:rPr>
        <w:t>"Background removal is a commodity. This is not"</w:t>
      </w:r>
      <w:r>
        <w:rPr/>
        <w:t xml:space="preserve"> — where "this" is GeM category mapping (</w:t>
      </w:r>
      <w:r>
        <w:rPr>
          <w:rStyle w:val="SourceText"/>
        </w:rPr>
        <w:t>web/api/channels/gem.py</w:t>
      </w:r>
      <w:r>
        <w:rPr/>
        <w:t xml:space="preserve"> docstring). Our image work is not novel research. It is a correctly assembled pipeline, benchmarked on our own photographs.</w:t>
      </w:r>
    </w:p>
    <w:p>
      <w:pPr>
        <w:pStyle w:val="TextBody"/>
        <w:bidi w:val="0"/>
        <w:spacing w:before="0" w:after="283"/>
        <w:jc w:val="left"/>
        <w:rPr/>
      </w:pPr>
      <w:r>
        <w:rPr>
          <w:rStyle w:val="StrongEmphasis"/>
        </w:rPr>
        <w:t>What is defensible — decision #1, closed 2026-08-28</w:t>
      </w:r>
      <w:r>
        <w:rPr/>
        <w:t xml:space="preserve"> against </w:t>
      </w:r>
      <w:r>
        <w:rPr>
          <w:rStyle w:val="StrongEmphasis"/>
        </w:rPr>
        <w:t>five models over 41 fixtures</w:t>
      </w:r>
      <w:r>
        <w:rPr/>
        <w:t xml:space="preserve"> (</w:t>
      </w:r>
      <w:r>
        <w:rPr>
          <w:rStyle w:val="SourceText"/>
        </w:rPr>
        <w:t>research/segmentation/RESULTS.md</w:t>
      </w:r>
      <w:r>
        <w:rPr/>
        <w:t>):</w:t>
      </w:r>
    </w:p>
    <w:tbl>
      <w:tblPr>
        <w:tblW w:w="5525" w:type="dxa"/>
        <w:jc w:val="left"/>
        <w:tblInd w:w="0" w:type="dxa"/>
        <w:tblLayout w:type="fixed"/>
        <w:tblCellMar>
          <w:top w:w="28" w:type="dxa"/>
          <w:left w:w="28" w:type="dxa"/>
          <w:bottom w:w="28" w:type="dxa"/>
          <w:right w:w="28" w:type="dxa"/>
        </w:tblCellMar>
      </w:tblPr>
      <w:tblGrid>
        <w:gridCol w:w="1546"/>
        <w:gridCol w:w="811"/>
        <w:gridCol w:w="751"/>
        <w:gridCol w:w="796"/>
        <w:gridCol w:w="1621"/>
      </w:tblGrid>
      <w:tr>
        <w:trPr>
          <w:tblHeader w:val="true"/>
        </w:trPr>
        <w:tc>
          <w:tcPr>
            <w:tcW w:w="1546" w:type="dxa"/>
            <w:tcBorders/>
            <w:vAlign w:val="center"/>
          </w:tcPr>
          <w:p>
            <w:pPr>
              <w:pStyle w:val="TableHeading"/>
              <w:suppressLineNumbers/>
              <w:shd w:fill="DCE6F1" w:val="clear"/>
              <w:bidi w:val="0"/>
              <w:spacing w:before="0" w:after="283"/>
              <w:jc w:val="left"/>
              <w:rPr/>
            </w:pPr>
            <w:r>
              <w:rPr/>
              <w:t>Model</w:t>
            </w:r>
          </w:p>
        </w:tc>
        <w:tc>
          <w:tcPr>
            <w:tcW w:w="811" w:type="dxa"/>
            <w:tcBorders/>
            <w:vAlign w:val="center"/>
          </w:tcPr>
          <w:p>
            <w:pPr>
              <w:pStyle w:val="TableHeading"/>
              <w:suppressLineNumbers/>
              <w:shd w:fill="DCE6F1" w:val="clear"/>
              <w:bidi w:val="0"/>
              <w:spacing w:before="0" w:after="283"/>
              <w:jc w:val="left"/>
              <w:rPr/>
            </w:pPr>
            <w:r>
              <w:rPr/>
              <w:t>Licence</w:t>
            </w:r>
          </w:p>
        </w:tc>
        <w:tc>
          <w:tcPr>
            <w:tcW w:w="751" w:type="dxa"/>
            <w:tcBorders/>
            <w:vAlign w:val="center"/>
          </w:tcPr>
          <w:p>
            <w:pPr>
              <w:pStyle w:val="TableHeading"/>
              <w:suppressLineNumbers/>
              <w:shd w:fill="DCE6F1" w:val="clear"/>
              <w:bidi w:val="0"/>
              <w:spacing w:before="0" w:after="283"/>
              <w:jc w:val="left"/>
              <w:rPr/>
            </w:pPr>
            <w:r>
              <w:rPr/>
              <w:t>Peak VRAM</w:t>
            </w:r>
          </w:p>
        </w:tc>
        <w:tc>
          <w:tcPr>
            <w:tcW w:w="796" w:type="dxa"/>
            <w:tcBorders/>
            <w:vAlign w:val="center"/>
          </w:tcPr>
          <w:p>
            <w:pPr>
              <w:pStyle w:val="TableHeading"/>
              <w:suppressLineNumbers/>
              <w:shd w:fill="DCE6F1" w:val="clear"/>
              <w:bidi w:val="0"/>
              <w:spacing w:before="0" w:after="283"/>
              <w:jc w:val="left"/>
              <w:rPr/>
            </w:pPr>
            <w:r>
              <w:rPr/>
              <w:t>Median</w:t>
            </w:r>
          </w:p>
        </w:tc>
        <w:tc>
          <w:tcPr>
            <w:tcW w:w="1621" w:type="dxa"/>
            <w:tcBorders/>
            <w:vAlign w:val="center"/>
          </w:tcPr>
          <w:p>
            <w:pPr>
              <w:pStyle w:val="TableHeading"/>
              <w:suppressLineNumbers/>
              <w:shd w:fill="DCE6F1" w:val="clear"/>
              <w:bidi w:val="0"/>
              <w:spacing w:before="0" w:after="283"/>
              <w:jc w:val="left"/>
              <w:rPr/>
            </w:pPr>
            <w:r>
              <w:rPr/>
              <w:t>Verdict</w:t>
            </w:r>
          </w:p>
        </w:tc>
      </w:tr>
      <w:tr>
        <w:trPr/>
        <w:tc>
          <w:tcPr>
            <w:tcW w:w="1546" w:type="dxa"/>
            <w:tcBorders/>
            <w:vAlign w:val="center"/>
          </w:tcPr>
          <w:p>
            <w:pPr>
              <w:pStyle w:val="TableContents"/>
              <w:bidi w:val="0"/>
              <w:spacing w:before="0" w:after="283"/>
              <w:jc w:val="left"/>
              <w:rPr/>
            </w:pPr>
            <w:r>
              <w:rPr>
                <w:rStyle w:val="StrongEmphasis"/>
              </w:rPr>
              <w:t>BiRefNet</w:t>
            </w:r>
          </w:p>
        </w:tc>
        <w:tc>
          <w:tcPr>
            <w:tcW w:w="811" w:type="dxa"/>
            <w:tcBorders/>
            <w:vAlign w:val="center"/>
          </w:tcPr>
          <w:p>
            <w:pPr>
              <w:pStyle w:val="TableContents"/>
              <w:bidi w:val="0"/>
              <w:spacing w:before="0" w:after="283"/>
              <w:jc w:val="left"/>
              <w:rPr/>
            </w:pPr>
            <w:r>
              <w:rPr/>
              <w:t>MIT</w:t>
            </w:r>
          </w:p>
        </w:tc>
        <w:tc>
          <w:tcPr>
            <w:tcW w:w="751" w:type="dxa"/>
            <w:tcBorders/>
            <w:vAlign w:val="center"/>
          </w:tcPr>
          <w:p>
            <w:pPr>
              <w:pStyle w:val="TableContents"/>
              <w:bidi w:val="0"/>
              <w:spacing w:before="0" w:after="283"/>
              <w:jc w:val="left"/>
              <w:rPr/>
            </w:pPr>
            <w:r>
              <w:rPr/>
              <w:t>1615 MiB</w:t>
            </w:r>
          </w:p>
        </w:tc>
        <w:tc>
          <w:tcPr>
            <w:tcW w:w="796" w:type="dxa"/>
            <w:tcBorders/>
            <w:vAlign w:val="center"/>
          </w:tcPr>
          <w:p>
            <w:pPr>
              <w:pStyle w:val="TableContents"/>
              <w:bidi w:val="0"/>
              <w:spacing w:before="0" w:after="283"/>
              <w:jc w:val="left"/>
              <w:rPr/>
            </w:pPr>
            <w:r>
              <w:rPr/>
              <w:t>645 ms</w:t>
            </w:r>
          </w:p>
        </w:tc>
        <w:tc>
          <w:tcPr>
            <w:tcW w:w="1621" w:type="dxa"/>
            <w:tcBorders/>
            <w:vAlign w:val="center"/>
          </w:tcPr>
          <w:p>
            <w:pPr>
              <w:pStyle w:val="TableContents"/>
              <w:bidi w:val="0"/>
              <w:spacing w:before="0" w:after="283"/>
              <w:jc w:val="left"/>
              <w:rPr/>
            </w:pPr>
            <w:r>
              <w:rPr>
                <w:rStyle w:val="StrongEmphasis"/>
              </w:rPr>
              <w:t>chosen</w:t>
            </w:r>
          </w:p>
        </w:tc>
      </w:tr>
      <w:tr>
        <w:trPr/>
        <w:tc>
          <w:tcPr>
            <w:tcW w:w="1546" w:type="dxa"/>
            <w:tcBorders/>
            <w:vAlign w:val="center"/>
          </w:tcPr>
          <w:p>
            <w:pPr>
              <w:pStyle w:val="TableContents"/>
              <w:bidi w:val="0"/>
              <w:spacing w:before="0" w:after="283"/>
              <w:jc w:val="left"/>
              <w:rPr/>
            </w:pPr>
            <w:r>
              <w:rPr/>
              <w:t>BiRefNet-lite</w:t>
            </w:r>
          </w:p>
        </w:tc>
        <w:tc>
          <w:tcPr>
            <w:tcW w:w="811" w:type="dxa"/>
            <w:tcBorders/>
            <w:vAlign w:val="center"/>
          </w:tcPr>
          <w:p>
            <w:pPr>
              <w:pStyle w:val="TableContents"/>
              <w:bidi w:val="0"/>
              <w:spacing w:before="0" w:after="283"/>
              <w:jc w:val="left"/>
              <w:rPr/>
            </w:pPr>
            <w:r>
              <w:rPr/>
              <w:t>MIT</w:t>
            </w:r>
          </w:p>
        </w:tc>
        <w:tc>
          <w:tcPr>
            <w:tcW w:w="751" w:type="dxa"/>
            <w:tcBorders/>
            <w:vAlign w:val="center"/>
          </w:tcPr>
          <w:p>
            <w:pPr>
              <w:pStyle w:val="TableContents"/>
              <w:bidi w:val="0"/>
              <w:spacing w:before="0" w:after="283"/>
              <w:jc w:val="left"/>
              <w:rPr/>
            </w:pPr>
            <w:r>
              <w:rPr/>
              <w:t>851 MiB</w:t>
            </w:r>
          </w:p>
        </w:tc>
        <w:tc>
          <w:tcPr>
            <w:tcW w:w="796" w:type="dxa"/>
            <w:tcBorders/>
            <w:vAlign w:val="center"/>
          </w:tcPr>
          <w:p>
            <w:pPr>
              <w:pStyle w:val="TableContents"/>
              <w:bidi w:val="0"/>
              <w:spacing w:before="0" w:after="283"/>
              <w:jc w:val="left"/>
              <w:rPr/>
            </w:pPr>
            <w:r>
              <w:rPr/>
              <w:t>273 ms</w:t>
            </w:r>
          </w:p>
        </w:tc>
        <w:tc>
          <w:tcPr>
            <w:tcW w:w="1621" w:type="dxa"/>
            <w:tcBorders/>
            <w:vAlign w:val="center"/>
          </w:tcPr>
          <w:p>
            <w:pPr>
              <w:pStyle w:val="TableContents"/>
              <w:bidi w:val="0"/>
              <w:spacing w:before="0" w:after="283"/>
              <w:jc w:val="left"/>
              <w:rPr/>
            </w:pPr>
            <w:r>
              <w:rPr/>
              <w:t>held in reserve</w:t>
            </w:r>
          </w:p>
        </w:tc>
      </w:tr>
      <w:tr>
        <w:trPr/>
        <w:tc>
          <w:tcPr>
            <w:tcW w:w="1546" w:type="dxa"/>
            <w:tcBorders/>
            <w:vAlign w:val="center"/>
          </w:tcPr>
          <w:p>
            <w:pPr>
              <w:pStyle w:val="TableContents"/>
              <w:bidi w:val="0"/>
              <w:spacing w:before="0" w:after="283"/>
              <w:jc w:val="left"/>
              <w:rPr/>
            </w:pPr>
            <w:r>
              <w:rPr/>
              <w:t>InSPyReNet</w:t>
            </w:r>
          </w:p>
        </w:tc>
        <w:tc>
          <w:tcPr>
            <w:tcW w:w="811" w:type="dxa"/>
            <w:tcBorders/>
            <w:vAlign w:val="center"/>
          </w:tcPr>
          <w:p>
            <w:pPr>
              <w:pStyle w:val="TableContents"/>
              <w:bidi w:val="0"/>
              <w:spacing w:before="0" w:after="283"/>
              <w:jc w:val="left"/>
              <w:rPr/>
            </w:pPr>
            <w:r>
              <w:rPr/>
              <w:t>MIT</w:t>
            </w:r>
          </w:p>
        </w:tc>
        <w:tc>
          <w:tcPr>
            <w:tcW w:w="751" w:type="dxa"/>
            <w:tcBorders/>
            <w:vAlign w:val="center"/>
          </w:tcPr>
          <w:p>
            <w:pPr>
              <w:pStyle w:val="TableContents"/>
              <w:bidi w:val="0"/>
              <w:spacing w:before="0" w:after="283"/>
              <w:jc w:val="left"/>
              <w:rPr/>
            </w:pPr>
            <w:r>
              <w:rPr/>
              <w:t>2924 MiB</w:t>
            </w:r>
          </w:p>
        </w:tc>
        <w:tc>
          <w:tcPr>
            <w:tcW w:w="796" w:type="dxa"/>
            <w:tcBorders/>
            <w:vAlign w:val="center"/>
          </w:tcPr>
          <w:p>
            <w:pPr>
              <w:pStyle w:val="TableContents"/>
              <w:bidi w:val="0"/>
              <w:spacing w:before="0" w:after="283"/>
              <w:jc w:val="left"/>
              <w:rPr/>
            </w:pPr>
            <w:r>
              <w:rPr/>
              <w:t>~500 ms</w:t>
            </w:r>
          </w:p>
        </w:tc>
        <w:tc>
          <w:tcPr>
            <w:tcW w:w="1621" w:type="dxa"/>
            <w:tcBorders/>
            <w:vAlign w:val="center"/>
          </w:tcPr>
          <w:p>
            <w:pPr>
              <w:pStyle w:val="TableContents"/>
              <w:bidi w:val="0"/>
              <w:spacing w:before="0" w:after="283"/>
              <w:jc w:val="left"/>
              <w:rPr/>
            </w:pPr>
            <w:r>
              <w:rPr/>
              <w:t>close second</w:t>
            </w:r>
          </w:p>
        </w:tc>
      </w:tr>
      <w:tr>
        <w:trPr/>
        <w:tc>
          <w:tcPr>
            <w:tcW w:w="1546" w:type="dxa"/>
            <w:tcBorders/>
            <w:vAlign w:val="center"/>
          </w:tcPr>
          <w:p>
            <w:pPr>
              <w:pStyle w:val="TableContents"/>
              <w:bidi w:val="0"/>
              <w:spacing w:before="0" w:after="283"/>
              <w:jc w:val="left"/>
              <w:rPr/>
            </w:pPr>
            <w:r>
              <w:rPr/>
              <w:t>u2net</w:t>
            </w:r>
          </w:p>
        </w:tc>
        <w:tc>
          <w:tcPr>
            <w:tcW w:w="811" w:type="dxa"/>
            <w:tcBorders/>
            <w:vAlign w:val="center"/>
          </w:tcPr>
          <w:p>
            <w:pPr>
              <w:pStyle w:val="TableContents"/>
              <w:bidi w:val="0"/>
              <w:spacing w:before="0" w:after="283"/>
              <w:jc w:val="left"/>
              <w:rPr/>
            </w:pPr>
            <w:r>
              <w:rPr/>
              <w:t>Apache-2.0</w:t>
            </w:r>
          </w:p>
        </w:tc>
        <w:tc>
          <w:tcPr>
            <w:tcW w:w="751" w:type="dxa"/>
            <w:tcBorders/>
            <w:vAlign w:val="center"/>
          </w:tcPr>
          <w:p>
            <w:pPr>
              <w:pStyle w:val="TableContents"/>
              <w:bidi w:val="0"/>
              <w:spacing w:before="0" w:after="283"/>
              <w:jc w:val="left"/>
              <w:rPr/>
            </w:pPr>
            <w:r>
              <w:rPr/>
              <w:t>CPU</w:t>
            </w:r>
          </w:p>
        </w:tc>
        <w:tc>
          <w:tcPr>
            <w:tcW w:w="796" w:type="dxa"/>
            <w:tcBorders/>
            <w:vAlign w:val="center"/>
          </w:tcPr>
          <w:p>
            <w:pPr>
              <w:pStyle w:val="TableContents"/>
              <w:bidi w:val="0"/>
              <w:spacing w:before="0" w:after="283"/>
              <w:jc w:val="left"/>
              <w:rPr/>
            </w:pPr>
            <w:r>
              <w:rPr/>
              <w:t>~450 ms</w:t>
            </w:r>
          </w:p>
        </w:tc>
        <w:tc>
          <w:tcPr>
            <w:tcW w:w="1621" w:type="dxa"/>
            <w:tcBorders/>
            <w:vAlign w:val="center"/>
          </w:tcPr>
          <w:p>
            <w:pPr>
              <w:pStyle w:val="TableContents"/>
              <w:bidi w:val="0"/>
              <w:spacing w:before="0" w:after="283"/>
              <w:jc w:val="left"/>
              <w:rPr/>
            </w:pPr>
            <w:r>
              <w:rPr/>
              <w:t>rejected — weakest on fringe</w:t>
            </w:r>
          </w:p>
        </w:tc>
      </w:tr>
      <w:tr>
        <w:trPr/>
        <w:tc>
          <w:tcPr>
            <w:tcW w:w="1546" w:type="dxa"/>
            <w:tcBorders/>
            <w:vAlign w:val="center"/>
          </w:tcPr>
          <w:p>
            <w:pPr>
              <w:pStyle w:val="TableContents"/>
              <w:bidi w:val="0"/>
              <w:spacing w:before="0" w:after="283"/>
              <w:jc w:val="left"/>
              <w:rPr/>
            </w:pPr>
            <w:r>
              <w:rPr/>
              <w:t>isnet-general-use</w:t>
            </w:r>
          </w:p>
        </w:tc>
        <w:tc>
          <w:tcPr>
            <w:tcW w:w="811" w:type="dxa"/>
            <w:tcBorders/>
            <w:vAlign w:val="center"/>
          </w:tcPr>
          <w:p>
            <w:pPr>
              <w:pStyle w:val="TableContents"/>
              <w:bidi w:val="0"/>
              <w:spacing w:before="0" w:after="283"/>
              <w:jc w:val="left"/>
              <w:rPr/>
            </w:pPr>
            <w:r>
              <w:rPr/>
              <w:t>Apache-2.0</w:t>
            </w:r>
          </w:p>
        </w:tc>
        <w:tc>
          <w:tcPr>
            <w:tcW w:w="751" w:type="dxa"/>
            <w:tcBorders/>
            <w:vAlign w:val="center"/>
          </w:tcPr>
          <w:p>
            <w:pPr>
              <w:pStyle w:val="TableContents"/>
              <w:bidi w:val="0"/>
              <w:spacing w:before="0" w:after="283"/>
              <w:jc w:val="left"/>
              <w:rPr/>
            </w:pPr>
            <w:r>
              <w:rPr/>
              <w:t>CPU</w:t>
            </w:r>
          </w:p>
        </w:tc>
        <w:tc>
          <w:tcPr>
            <w:tcW w:w="796" w:type="dxa"/>
            <w:tcBorders/>
            <w:vAlign w:val="center"/>
          </w:tcPr>
          <w:p>
            <w:pPr>
              <w:pStyle w:val="TableContents"/>
              <w:bidi w:val="0"/>
              <w:spacing w:before="0" w:after="283"/>
              <w:jc w:val="left"/>
              <w:rPr/>
            </w:pPr>
            <w:r>
              <w:rPr/>
              <w:t>~950 ms</w:t>
            </w:r>
          </w:p>
        </w:tc>
        <w:tc>
          <w:tcPr>
            <w:tcW w:w="1621" w:type="dxa"/>
            <w:tcBorders/>
            <w:vAlign w:val="center"/>
          </w:tcPr>
          <w:p>
            <w:pPr>
              <w:pStyle w:val="TableContents"/>
              <w:bidi w:val="0"/>
              <w:spacing w:before="0" w:after="283"/>
              <w:jc w:val="left"/>
              <w:rPr/>
            </w:pPr>
            <w:r>
              <w:rPr/>
              <w:t>rejected — 48 holes per image</w:t>
            </w:r>
          </w:p>
        </w:tc>
      </w:tr>
      <w:tr>
        <w:trPr/>
        <w:tc>
          <w:tcPr>
            <w:tcW w:w="1546" w:type="dxa"/>
            <w:tcBorders/>
            <w:vAlign w:val="center"/>
          </w:tcPr>
          <w:p>
            <w:pPr>
              <w:pStyle w:val="TableContents"/>
              <w:bidi w:val="0"/>
              <w:spacing w:before="0" w:after="283"/>
              <w:jc w:val="left"/>
              <w:rPr/>
            </w:pPr>
            <w:r>
              <w:rPr/>
              <w:t>RMBG-2.0</w:t>
            </w:r>
          </w:p>
        </w:tc>
        <w:tc>
          <w:tcPr>
            <w:tcW w:w="811" w:type="dxa"/>
            <w:tcBorders/>
            <w:vAlign w:val="center"/>
          </w:tcPr>
          <w:p>
            <w:pPr>
              <w:pStyle w:val="TableContents"/>
              <w:bidi w:val="0"/>
              <w:spacing w:before="0" w:after="283"/>
              <w:jc w:val="left"/>
              <w:rPr/>
            </w:pPr>
            <w:r>
              <w:rPr/>
              <w:t>CC BY-NC 4.0</w:t>
            </w:r>
          </w:p>
        </w:tc>
        <w:tc>
          <w:tcPr>
            <w:tcW w:w="751" w:type="dxa"/>
            <w:tcBorders/>
            <w:vAlign w:val="center"/>
          </w:tcPr>
          <w:p>
            <w:pPr>
              <w:pStyle w:val="TableContents"/>
              <w:bidi w:val="0"/>
              <w:spacing w:before="0" w:after="283"/>
              <w:jc w:val="left"/>
              <w:rPr/>
            </w:pPr>
            <w:r>
              <w:rPr/>
              <w:t>—</w:t>
            </w:r>
          </w:p>
        </w:tc>
        <w:tc>
          <w:tcPr>
            <w:tcW w:w="796" w:type="dxa"/>
            <w:tcBorders/>
            <w:vAlign w:val="center"/>
          </w:tcPr>
          <w:p>
            <w:pPr>
              <w:pStyle w:val="TableContents"/>
              <w:bidi w:val="0"/>
              <w:spacing w:before="0" w:after="283"/>
              <w:jc w:val="left"/>
              <w:rPr/>
            </w:pPr>
            <w:r>
              <w:rPr/>
              <w:t>never ran</w:t>
            </w:r>
          </w:p>
        </w:tc>
        <w:tc>
          <w:tcPr>
            <w:tcW w:w="1621" w:type="dxa"/>
            <w:tcBorders/>
            <w:vAlign w:val="center"/>
          </w:tcPr>
          <w:p>
            <w:pPr>
              <w:pStyle w:val="TableContents"/>
              <w:bidi w:val="0"/>
              <w:spacing w:before="0" w:after="283"/>
              <w:jc w:val="left"/>
              <w:rPr/>
            </w:pPr>
            <w:r>
              <w:rPr>
                <w:rStyle w:val="StrongEmphasis"/>
              </w:rPr>
              <w:t>non-commercial licence — could not have shipped</w:t>
            </w:r>
          </w:p>
        </w:tc>
      </w:tr>
    </w:tbl>
    <w:p>
      <w:pPr>
        <w:pStyle w:val="TextBody"/>
        <w:bidi w:val="0"/>
        <w:spacing w:before="0" w:after="283"/>
        <w:jc w:val="left"/>
        <w:rPr/>
      </w:pPr>
      <w:r>
        <w:rPr/>
        <w:t xml:space="preserve">Two things a judge should take from that table. </w:t>
      </w:r>
      <w:r>
        <w:rPr>
          <w:rStyle w:val="StrongEmphasis"/>
        </w:rPr>
        <w:t>First, fringe.</w:t>
      </w:r>
      <w:r>
        <w:rPr/>
        <w:t xml:space="preserve"> Handicraft is tassels, jute fibre, jaali, filigree, loose thread. That is the whole category, and it is where a binary mask chops the pallu off. That was the open question and BiRefNet answered it. </w:t>
      </w:r>
      <w:r>
        <w:rPr>
          <w:rStyle w:val="StrongEmphasis"/>
        </w:rPr>
        <w:t>Second, RMBG-2.0</w:t>
      </w:r>
      <w:r>
        <w:rPr/>
        <w:t xml:space="preserve"> — the model most recommended online for this task — is CC BY-NC. A good score would have changed nothing. We checked the licence before we checked the score.</w:t>
      </w:r>
    </w:p>
    <w:p>
      <w:pPr>
        <w:pStyle w:val="TextBody"/>
        <w:bidi w:val="0"/>
        <w:spacing w:before="0" w:after="283"/>
        <w:jc w:val="left"/>
        <w:rPr/>
      </w:pPr>
      <w:r>
        <w:rPr/>
        <w:t xml:space="preserve">Revisions are </w:t>
      </w:r>
      <w:r>
        <w:rPr>
          <w:rStyle w:val="StrongEmphasis"/>
        </w:rPr>
        <w:t>pinned</w:t>
      </w:r>
      <w:r>
        <w:rPr/>
        <w:t xml:space="preserve"> (</w:t>
      </w:r>
      <w:r>
        <w:rPr>
          <w:rStyle w:val="SourceText"/>
        </w:rPr>
        <w:t>e2bf8e44…</w:t>
      </w:r>
      <w:r>
        <w:rPr/>
        <w:t xml:space="preserve">), because both repos ship </w:t>
      </w:r>
      <w:r>
        <w:rPr>
          <w:rStyle w:val="SourceText"/>
        </w:rPr>
        <w:t>trust_remote_code</w:t>
      </w:r>
      <w:r>
        <w:rPr/>
        <w:t xml:space="preserve"> model definitions — the code that builds the network downloads with the weights. Tracking </w:t>
      </w:r>
      <w:r>
        <w:rPr>
          <w:rStyle w:val="SourceText"/>
        </w:rPr>
        <w:t>main</w:t>
      </w:r>
      <w:r>
        <w:rPr/>
        <w:t xml:space="preserve"> means an upstream commit can silently move a result we put on a slide.</w:t>
      </w:r>
    </w:p>
    <w:p>
      <w:pPr>
        <w:pStyle w:val="TextBody"/>
        <w:bidi w:val="0"/>
        <w:spacing w:before="0" w:after="283"/>
        <w:jc w:val="left"/>
        <w:rPr/>
      </w:pPr>
      <w:r>
        <w:rPr>
          <w:rStyle w:val="StrongEmphasis"/>
        </w:rPr>
        <w:t>The four stages that are not matting</w:t>
      </w:r>
      <w:r>
        <w:rPr/>
        <w:t xml:space="preserve"> and that actually decide whether a listing survives marketplace QC: white balance, tone, denoise/sharpen, and </w:t>
      </w:r>
      <w:r>
        <w:rPr>
          <w:rStyle w:val="StrongEmphasis"/>
        </w:rPr>
        <w:t>auto-crop to 85% fill with a programmatically asserted pure-white composite</w:t>
      </w:r>
      <w:r>
        <w:rPr/>
        <w:t xml:space="preserve">. </w:t>
      </w:r>
      <w:r>
        <w:rPr>
          <w:rStyle w:val="SourceText"/>
        </w:rPr>
        <w:t>#FFFFFF</w:t>
      </w:r>
      <w:r>
        <w:rPr/>
        <w:t xml:space="preserve"> exactly — marketplace systems flag (252,252,252) even when the eye cannot tell. We sample corner pixels and assert.</w:t>
      </w:r>
    </w:p>
    <w:p>
      <w:pPr>
        <w:pStyle w:val="TextBody"/>
        <w:bidi w:val="0"/>
        <w:spacing w:before="0" w:after="283"/>
        <w:jc w:val="left"/>
        <w:rPr/>
      </w:pPr>
      <w:r>
        <w:rPr>
          <w:rStyle w:val="StrongEmphasis"/>
        </w:rPr>
        <w:t>Breaks when.</w:t>
      </w:r>
      <w:r>
        <w:rPr/>
        <w:t xml:space="preserve"> Adversarial fixtures: mean consensus IoU </w:t>
      </w:r>
      <w:r>
        <w:rPr>
          <w:rStyle w:val="StrongEmphasis"/>
        </w:rPr>
        <w:t>0.616</w:t>
      </w:r>
      <w:r>
        <w:rPr/>
        <w:t>, the worst group in the benchmark. Dark product on dark ground, transparent glass, specular brass. See Q2.4.</w:t>
      </w:r>
    </w:p>
    <w:p>
      <w:pPr>
        <w:pStyle w:val="HorizontalLine"/>
        <w:pBdr>
          <w:bottom w:val="double" w:sz="2" w:space="0" w:color="808080"/>
        </w:pBdr>
        <w:bidi w:val="0"/>
        <w:spacing w:before="0" w:after="283"/>
        <w:jc w:val="left"/>
        <w:rPr/>
      </w:pPr>
      <w:r>
        <w:rPr/>
      </w:r>
    </w:p>
    <w:p>
      <w:pPr>
        <w:pStyle w:val="Heading2"/>
        <w:bidi w:val="0"/>
        <w:jc w:val="left"/>
        <w:rPr/>
      </w:pPr>
      <w:r>
        <w:rPr/>
        <w:t>Q2.2 — "Your slide says the AI corrects lighting. Does it?"</w:t>
      </w:r>
    </w:p>
    <w:p>
      <w:pPr>
        <w:pStyle w:val="TextBody"/>
        <w:bidi w:val="0"/>
        <w:spacing w:before="0" w:after="283"/>
        <w:jc w:val="left"/>
        <w:rPr/>
      </w:pPr>
      <w:r>
        <w:rPr>
          <w:rStyle w:val="StrongEmphasis"/>
        </w:rPr>
        <w:t>Think.</w:t>
      </w:r>
      <w:r>
        <w:rPr/>
        <w:t xml:space="preserve"> No. Say no in the first word. This is the one place where a hedge would be caught by reading our own repo, which a diligent judge could do if we publish it.</w:t>
      </w:r>
    </w:p>
    <w:p>
      <w:pPr>
        <w:pStyle w:val="TextBody"/>
        <w:bidi w:val="0"/>
        <w:spacing w:before="0" w:after="283"/>
        <w:jc w:val="left"/>
        <w:rPr/>
      </w:pPr>
      <w:r>
        <w:rPr>
          <w:rStyle w:val="StrongEmphasis"/>
        </w:rPr>
        <w:t>Answer. No — not yet, and the pipeline says so in every response.</w:t>
      </w:r>
    </w:p>
    <w:p>
      <w:pPr>
        <w:pStyle w:val="TextBody"/>
        <w:bidi w:val="0"/>
        <w:spacing w:before="0" w:after="283"/>
        <w:jc w:val="left"/>
        <w:rPr/>
      </w:pPr>
      <w:r>
        <w:rPr>
          <w:rStyle w:val="SourceText"/>
        </w:rPr>
        <w:t>CLAUDE.md</w:t>
      </w:r>
      <w:r>
        <w:rPr/>
        <w:t xml:space="preserve">, Current state, verbatim: </w:t>
      </w:r>
      <w:r>
        <w:rPr>
          <w:rStyle w:val="Emphasis"/>
        </w:rPr>
        <w:t xml:space="preserve">"Three stages inside that sequence are still unwritten and are skipped explicitly, with every response naming them: </w:t>
      </w:r>
      <w:r>
        <w:rPr>
          <w:rStyle w:val="SourceText"/>
        </w:rPr>
        <w:t>white_balance()</w:t>
      </w:r>
      <w:r>
        <w:rPr>
          <w:rStyle w:val="Emphasis"/>
        </w:rPr>
        <w:t xml:space="preserve">, </w:t>
      </w:r>
      <w:r>
        <w:rPr>
          <w:rStyle w:val="SourceText"/>
        </w:rPr>
        <w:t>tone()</w:t>
      </w:r>
      <w:r>
        <w:rPr>
          <w:rStyle w:val="Emphasis"/>
        </w:rPr>
        <w:t xml:space="preserve">, </w:t>
      </w:r>
      <w:r>
        <w:rPr>
          <w:rStyle w:val="SourceText"/>
        </w:rPr>
        <w:t>denoise_sharpen()</w:t>
      </w:r>
      <w:r>
        <w:rPr>
          <w:rStyle w:val="Emphasis"/>
        </w:rPr>
        <w:t>. Colour is the significant absence."</w:t>
      </w:r>
    </w:p>
    <w:p>
      <w:pPr>
        <w:pStyle w:val="TextBody"/>
        <w:bidi w:val="0"/>
        <w:spacing w:before="0" w:after="283"/>
        <w:jc w:val="left"/>
        <w:rPr/>
      </w:pPr>
      <w:r>
        <w:rPr>
          <w:rStyle w:val="StrongEmphasis"/>
        </w:rPr>
        <w:t>What runs end to end today</w:t>
      </w:r>
      <w:r>
        <w:rPr/>
        <w:t xml:space="preserve"> (</w:t>
      </w:r>
      <w:r>
        <w:rPr>
          <w:rStyle w:val="SourceText"/>
        </w:rPr>
        <w:t>POST /enhance</w:t>
      </w:r>
      <w:r>
        <w:rPr/>
        <w:t xml:space="preserve"> → 202 → poll </w:t>
      </w:r>
      <w:r>
        <w:rPr>
          <w:rStyle w:val="SourceText"/>
        </w:rPr>
        <w:t>GET /enhance/{job_id}</w:t>
      </w:r>
      <w:r>
        <w:rPr/>
        <w:t>): gate → 2000 px master → BiRefNet → tier → crop → per-target JPEG encode.</w:t>
      </w:r>
    </w:p>
    <w:p>
      <w:pPr>
        <w:pStyle w:val="TextBody"/>
        <w:bidi w:val="0"/>
        <w:spacing w:before="0" w:after="283"/>
        <w:jc w:val="left"/>
        <w:rPr/>
      </w:pPr>
      <w:r>
        <w:rPr>
          <w:rStyle w:val="StrongEmphasis"/>
        </w:rPr>
        <w:t>Why colour is the stage I would prioritise over everything else</w:t>
      </w:r>
      <w:r>
        <w:rPr/>
        <w:t xml:space="preserve">, and this is worth saying unprompted because it shows we know what matters: </w:t>
      </w:r>
      <w:r>
        <w:rPr>
          <w:rStyle w:val="StrongEmphasis"/>
        </w:rPr>
        <w:t>for textiles, white balance matters more than background removal.</w:t>
      </w:r>
      <w:r>
        <w:rPr/>
        <w:t xml:space="preserve"> An artisan shoots under a tungsten bulb and the whole frame goes orange. A maroon Sambalpuri saree photographs orange. The buyer orders maroon, receives maroon, and it does not match the photograph — return, refund, and the artisan's rating drops. </w:t>
      </w:r>
      <w:r>
        <w:rPr>
          <w:rStyle w:val="StrongEmphasis"/>
        </w:rPr>
        <w:t>Return rate destroys artisan income far faster than an unattractive background does.</w:t>
      </w:r>
    </w:p>
    <w:p>
      <w:pPr>
        <w:pStyle w:val="TextBody"/>
        <w:bidi w:val="0"/>
        <w:spacing w:before="0" w:after="283"/>
        <w:jc w:val="left"/>
        <w:rPr/>
      </w:pPr>
      <w:r>
        <w:rPr>
          <w:rStyle w:val="StrongEmphasis"/>
        </w:rPr>
        <w:t>The design that is already decided and waiting for the implementation:</w:t>
      </w:r>
    </w:p>
    <w:p>
      <w:pPr>
        <w:pStyle w:val="TextBody"/>
        <w:numPr>
          <w:ilvl w:val="0"/>
          <w:numId w:val="1"/>
        </w:numPr>
        <w:tabs>
          <w:tab w:val="clear" w:pos="1134"/>
          <w:tab w:val="left" w:pos="709" w:leader="none"/>
        </w:tabs>
        <w:bidi w:val="0"/>
        <w:spacing w:before="0" w:after="0"/>
        <w:ind w:left="709" w:hanging="283"/>
        <w:jc w:val="left"/>
        <w:rPr/>
      </w:pPr>
      <w:r>
        <w:rPr>
          <w:rStyle w:val="StrongEmphasis"/>
        </w:rPr>
        <w:t>The white-paper reference trick.</w:t>
      </w:r>
      <w:r>
        <w:rPr/>
        <w:t xml:space="preserve"> The app asks </w:t>
      </w:r>
      <w:r>
        <w:rPr>
          <w:rStyle w:val="Emphasis"/>
        </w:rPr>
        <w:t>"product ke bagal me ek safed kagaz rakh dein."</w:t>
      </w:r>
      <w:r>
        <w:rPr/>
        <w:t xml:space="preserve"> We calibrate the exact white point from that paper and crop it out. Zero cost, professional-grade accuracy — better than a learned model and it costs one sentence of voice. </w:t>
      </w:r>
    </w:p>
    <w:p>
      <w:pPr>
        <w:pStyle w:val="TextBody"/>
        <w:numPr>
          <w:ilvl w:val="0"/>
          <w:numId w:val="1"/>
        </w:numPr>
        <w:tabs>
          <w:tab w:val="clear" w:pos="1134"/>
          <w:tab w:val="left" w:pos="709" w:leader="none"/>
        </w:tabs>
        <w:bidi w:val="0"/>
        <w:spacing w:before="0" w:after="0"/>
        <w:ind w:left="709" w:hanging="283"/>
        <w:jc w:val="left"/>
        <w:rPr/>
      </w:pPr>
      <w:r>
        <w:rPr>
          <w:rStyle w:val="StrongEmphasis"/>
        </w:rPr>
        <w:t>Blocked on one open request:</w:t>
      </w:r>
      <w:r>
        <w:rPr/>
        <w:t xml:space="preserve"> </w:t>
      </w:r>
      <w:r>
        <w:rPr>
          <w:rStyle w:val="SourceText"/>
        </w:rPr>
        <w:t>docs/Abhay/CHANGELOG.md</w:t>
      </w:r>
      <w:r>
        <w:rPr/>
        <w:t xml:space="preserve"> records §9.2 — the </w:t>
      </w:r>
      <w:r>
        <w:rPr>
          <w:rStyle w:val="SourceText"/>
        </w:rPr>
        <w:t>white_ref</w:t>
      </w:r>
      <w:r>
        <w:rPr/>
        <w:t xml:space="preserve"> rectangle on </w:t>
      </w:r>
      <w:r>
        <w:rPr>
          <w:rStyle w:val="SourceText"/>
        </w:rPr>
        <w:t>POST /enhance</w:t>
      </w:r>
      <w:r>
        <w:rPr/>
        <w:t xml:space="preserve"> — as </w:t>
      </w:r>
      <w:r>
        <w:rPr>
          <w:rStyle w:val="Emphasis"/>
        </w:rPr>
        <w:t>"ours, unanswered"</w:t>
      </w:r>
      <w:r>
        <w:rPr/>
        <w:t xml:space="preserve"> from the app side. </w:t>
      </w:r>
      <w:r>
        <w:rPr>
          <w:rStyle w:val="StrongEmphasis"/>
        </w:rPr>
        <w:t>Until the app sends that rectangle, white balance is gray-world forever.</w:t>
      </w:r>
      <w:r>
        <w:rPr/>
        <w:t xml:space="preserve"> That is a coordination gap between two people, not a research problem, and it is the single most valuable unblocked hour in the repo. </w:t>
      </w:r>
    </w:p>
    <w:p>
      <w:pPr>
        <w:pStyle w:val="TextBody"/>
        <w:numPr>
          <w:ilvl w:val="0"/>
          <w:numId w:val="1"/>
        </w:numPr>
        <w:tabs>
          <w:tab w:val="clear" w:pos="1134"/>
          <w:tab w:val="left" w:pos="709" w:leader="none"/>
        </w:tabs>
        <w:bidi w:val="0"/>
        <w:ind w:left="709" w:hanging="283"/>
        <w:jc w:val="left"/>
        <w:rPr/>
      </w:pPr>
      <w:r>
        <w:rPr>
          <w:rStyle w:val="SourceText"/>
        </w:rPr>
        <w:t>colour_confirmed</w:t>
      </w:r>
      <w:r>
        <w:rPr>
          <w:rStyle w:val="StrongEmphasis"/>
        </w:rPr>
        <w:t xml:space="preserve"> gates publishing.</w:t>
      </w:r>
      <w:r>
        <w:rPr/>
        <w:t xml:space="preserve"> Non-negotiable rule 4 in </w:t>
      </w:r>
      <w:r>
        <w:rPr>
          <w:rStyle w:val="SourceText"/>
        </w:rPr>
        <w:t>CLAUDE.md</w:t>
      </w:r>
      <w:r>
        <w:rPr/>
        <w:t xml:space="preserve">: nothing publishes without it. White balance moves colour, and </w:t>
      </w:r>
      <w:r>
        <w:rPr>
          <w:rStyle w:val="StrongEmphasis"/>
        </w:rPr>
        <w:t>only the person holding the object can say whether it is still true.</w:t>
      </w:r>
      <w:r>
        <w:rPr/>
        <w:t xml:space="preserve"> </w:t>
      </w:r>
      <w:r>
        <w:rPr>
          <w:rStyle w:val="SourceText"/>
        </w:rPr>
        <w:t>/capture/review</w:t>
      </w:r>
      <w:r>
        <w:rPr/>
        <w:t xml:space="preserve"> asks by voice: </w:t>
      </w:r>
      <w:r>
        <w:rPr>
          <w:rStyle w:val="Emphasis"/>
        </w:rPr>
        <w:t>"kya yeh asli rang hai?"</w:t>
      </w:r>
      <w:r>
        <w:rPr/>
        <w:t xml:space="preserve"> </w:t>
      </w:r>
    </w:p>
    <w:p>
      <w:pPr>
        <w:pStyle w:val="TextBody"/>
        <w:bidi w:val="0"/>
        <w:jc w:val="left"/>
        <w:rPr/>
      </w:pPr>
      <w:r>
        <w:rPr>
          <w:rStyle w:val="StrongEmphasis"/>
        </w:rPr>
        <w:t>Breaks when.</w:t>
      </w:r>
      <w:r>
        <w:rPr/>
        <w:t xml:space="preserve"> Right now, under a tungsten bulb, for every textile. The listing is still publishable and the artisan still confirms the colour by eye — but they are confirming an uncorrected photograph, so the confirmation is doing more work than it should.</w:t>
      </w:r>
    </w:p>
    <w:p>
      <w:pPr>
        <w:pStyle w:val="HorizontalLine"/>
        <w:pBdr>
          <w:bottom w:val="double" w:sz="2" w:space="0" w:color="808080"/>
        </w:pBdr>
        <w:bidi w:val="0"/>
        <w:spacing w:before="0" w:after="283"/>
        <w:jc w:val="left"/>
        <w:rPr/>
      </w:pPr>
      <w:r>
        <w:rPr/>
      </w:r>
    </w:p>
    <w:p>
      <w:pPr>
        <w:pStyle w:val="Heading2"/>
        <w:bidi w:val="0"/>
        <w:jc w:val="left"/>
        <w:rPr/>
      </w:pPr>
      <w:r>
        <w:rPr/>
        <w:t>Q2.3 — "You reject bad photos on the phone. How many good photos does your gate throw away?"</w:t>
      </w:r>
    </w:p>
    <w:p>
      <w:pPr>
        <w:pStyle w:val="TextBody"/>
        <w:bidi w:val="0"/>
        <w:spacing w:before="0" w:after="283"/>
        <w:jc w:val="left"/>
        <w:rPr/>
      </w:pPr>
      <w:r>
        <w:rPr>
          <w:rStyle w:val="StrongEmphasis"/>
        </w:rPr>
        <w:t>Think.</w:t>
      </w:r>
      <w:r>
        <w:rPr/>
        <w:t xml:space="preserve"> They expect a hand-wave. We have the number, from 591 fixtures, and giving it immediately is worth more than the number being good.</w:t>
      </w:r>
    </w:p>
    <w:p>
      <w:pPr>
        <w:pStyle w:val="TextBody"/>
        <w:bidi w:val="0"/>
        <w:spacing w:before="0" w:after="283"/>
        <w:jc w:val="left"/>
        <w:rPr/>
      </w:pPr>
      <w:r>
        <w:rPr>
          <w:rStyle w:val="StrongEmphasis"/>
        </w:rPr>
        <w:t>Answer. 21 out of 93 — about 23% — after calibration. It was 65 out of 93 before.</w:t>
      </w:r>
    </w:p>
    <w:p>
      <w:pPr>
        <w:pStyle w:val="TextBody"/>
        <w:bidi w:val="0"/>
        <w:spacing w:before="0" w:after="283"/>
        <w:jc w:val="left"/>
        <w:rPr/>
      </w:pPr>
      <w:r>
        <w:rPr/>
        <w:t xml:space="preserve">Measured on </w:t>
      </w:r>
      <w:r>
        <w:rPr>
          <w:rStyle w:val="StrongEmphasis"/>
        </w:rPr>
        <w:t>591 fixtures</w:t>
      </w:r>
      <w:r>
        <w:rPr/>
        <w:t xml:space="preserve">: 93 photographs somebody chose to publish (the gate should pass these) and 498 degraded copies made by </w:t>
      </w:r>
      <w:r>
        <w:rPr>
          <w:rStyle w:val="SourceText"/>
        </w:rPr>
        <w:t>images/degrade.py</w:t>
      </w:r>
      <w:r>
        <w:rPr/>
        <w:t xml:space="preserve"> with recorded parameters — 83 each of motion blur, defocus, under- and overexposure, off-centre and too-far. </w:t>
      </w:r>
      <w:r>
        <w:rPr>
          <w:rStyle w:val="StrongEmphasis"/>
        </w:rPr>
        <w:t>The ground truth is a fact, not a judgement</w:t>
      </w:r>
      <w:r>
        <w:rPr/>
        <w:t xml:space="preserve"> (</w:t>
      </w:r>
      <w:r>
        <w:rPr>
          <w:rStyle w:val="SourceText"/>
        </w:rPr>
        <w:t>research/RESULTS.md</w:t>
      </w:r>
      <w:r>
        <w:rPr/>
        <w:t>, 2026-08-27).</w:t>
      </w:r>
    </w:p>
    <w:tbl>
      <w:tblPr>
        <w:tblW w:w="5525" w:type="dxa"/>
        <w:jc w:val="left"/>
        <w:tblInd w:w="0" w:type="dxa"/>
        <w:tblLayout w:type="fixed"/>
        <w:tblCellMar>
          <w:top w:w="28" w:type="dxa"/>
          <w:left w:w="28" w:type="dxa"/>
          <w:bottom w:w="28" w:type="dxa"/>
          <w:right w:w="28" w:type="dxa"/>
        </w:tblCellMar>
      </w:tblPr>
      <w:tblGrid>
        <w:gridCol w:w="3528"/>
        <w:gridCol w:w="871"/>
        <w:gridCol w:w="1126"/>
      </w:tblGrid>
      <w:tr>
        <w:trPr>
          <w:tblHeader w:val="true"/>
        </w:trPr>
        <w:tc>
          <w:tcPr>
            <w:tcW w:w="3528" w:type="dxa"/>
            <w:tcBorders/>
            <w:vAlign w:val="center"/>
          </w:tcPr>
          <w:p>
            <w:pPr>
              <w:pStyle w:val="TableHeading"/>
              <w:bidi w:val="0"/>
              <w:spacing w:before="0" w:after="283"/>
              <w:jc w:val="left"/>
              <w:rPr>
                <w:sz w:val="4"/>
                <w:szCs w:val="4"/>
              </w:rPr>
            </w:pPr>
            <w:r>
              <w:rPr>
                <w:sz w:val="4"/>
                <w:szCs w:val="4"/>
              </w:rPr>
            </w:r>
          </w:p>
        </w:tc>
        <w:tc>
          <w:tcPr>
            <w:tcW w:w="871" w:type="dxa"/>
            <w:tcBorders/>
            <w:vAlign w:val="center"/>
          </w:tcPr>
          <w:p>
            <w:pPr>
              <w:pStyle w:val="TableHeading"/>
              <w:suppressLineNumbers/>
              <w:shd w:fill="DCE6F1" w:val="clear"/>
              <w:bidi w:val="0"/>
              <w:spacing w:before="0" w:after="283"/>
              <w:jc w:val="left"/>
              <w:rPr/>
            </w:pPr>
            <w:r>
              <w:rPr/>
              <w:t>Original</w:t>
            </w:r>
          </w:p>
        </w:tc>
        <w:tc>
          <w:tcPr>
            <w:tcW w:w="1126" w:type="dxa"/>
            <w:tcBorders/>
            <w:vAlign w:val="center"/>
          </w:tcPr>
          <w:p>
            <w:pPr>
              <w:pStyle w:val="TableHeading"/>
              <w:suppressLineNumbers/>
              <w:shd w:fill="DCE6F1" w:val="clear"/>
              <w:bidi w:val="0"/>
              <w:spacing w:before="0" w:after="283"/>
              <w:jc w:val="left"/>
              <w:rPr/>
            </w:pPr>
            <w:r>
              <w:rPr/>
              <w:t>Calibrated</w:t>
            </w:r>
          </w:p>
        </w:tc>
      </w:tr>
      <w:tr>
        <w:trPr/>
        <w:tc>
          <w:tcPr>
            <w:tcW w:w="3528" w:type="dxa"/>
            <w:tcBorders/>
            <w:vAlign w:val="center"/>
          </w:tcPr>
          <w:p>
            <w:pPr>
              <w:pStyle w:val="TableContents"/>
              <w:bidi w:val="0"/>
              <w:spacing w:before="0" w:after="283"/>
              <w:jc w:val="left"/>
              <w:rPr/>
            </w:pPr>
            <w:r>
              <w:rPr/>
              <w:t>Good photographs the capture gate refuses</w:t>
            </w:r>
          </w:p>
        </w:tc>
        <w:tc>
          <w:tcPr>
            <w:tcW w:w="871" w:type="dxa"/>
            <w:tcBorders/>
            <w:vAlign w:val="center"/>
          </w:tcPr>
          <w:p>
            <w:pPr>
              <w:pStyle w:val="TableContents"/>
              <w:bidi w:val="0"/>
              <w:spacing w:before="0" w:after="283"/>
              <w:jc w:val="left"/>
              <w:rPr/>
            </w:pPr>
            <w:r>
              <w:rPr/>
              <w:t>65/93</w:t>
            </w:r>
          </w:p>
        </w:tc>
        <w:tc>
          <w:tcPr>
            <w:tcW w:w="1126" w:type="dxa"/>
            <w:tcBorders/>
            <w:vAlign w:val="center"/>
          </w:tcPr>
          <w:p>
            <w:pPr>
              <w:pStyle w:val="TableContents"/>
              <w:bidi w:val="0"/>
              <w:spacing w:before="0" w:after="283"/>
              <w:jc w:val="left"/>
              <w:rPr/>
            </w:pPr>
            <w:r>
              <w:rPr>
                <w:rStyle w:val="StrongEmphasis"/>
              </w:rPr>
              <w:t>21/93</w:t>
            </w:r>
          </w:p>
        </w:tc>
      </w:tr>
      <w:tr>
        <w:trPr/>
        <w:tc>
          <w:tcPr>
            <w:tcW w:w="3528" w:type="dxa"/>
            <w:tcBorders/>
            <w:vAlign w:val="center"/>
          </w:tcPr>
          <w:p>
            <w:pPr>
              <w:pStyle w:val="TableContents"/>
              <w:bidi w:val="0"/>
              <w:spacing w:before="0" w:after="283"/>
              <w:jc w:val="left"/>
              <w:rPr/>
            </w:pPr>
            <w:r>
              <w:rPr/>
              <w:t>Good photographs the server refuses</w:t>
            </w:r>
          </w:p>
        </w:tc>
        <w:tc>
          <w:tcPr>
            <w:tcW w:w="871" w:type="dxa"/>
            <w:tcBorders/>
            <w:vAlign w:val="center"/>
          </w:tcPr>
          <w:p>
            <w:pPr>
              <w:pStyle w:val="TableContents"/>
              <w:bidi w:val="0"/>
              <w:spacing w:before="0" w:after="283"/>
              <w:jc w:val="left"/>
              <w:rPr/>
            </w:pPr>
            <w:r>
              <w:rPr/>
              <w:t>73/93</w:t>
            </w:r>
          </w:p>
        </w:tc>
        <w:tc>
          <w:tcPr>
            <w:tcW w:w="1126" w:type="dxa"/>
            <w:tcBorders/>
            <w:vAlign w:val="center"/>
          </w:tcPr>
          <w:p>
            <w:pPr>
              <w:pStyle w:val="TableContents"/>
              <w:bidi w:val="0"/>
              <w:spacing w:before="0" w:after="283"/>
              <w:jc w:val="left"/>
              <w:rPr/>
            </w:pPr>
            <w:r>
              <w:rPr>
                <w:rStyle w:val="StrongEmphasis"/>
              </w:rPr>
              <w:t>25/93</w:t>
            </w:r>
          </w:p>
        </w:tc>
      </w:tr>
      <w:tr>
        <w:trPr/>
        <w:tc>
          <w:tcPr>
            <w:tcW w:w="3528" w:type="dxa"/>
            <w:tcBorders/>
            <w:vAlign w:val="center"/>
          </w:tcPr>
          <w:p>
            <w:pPr>
              <w:pStyle w:val="TableContents"/>
              <w:bidi w:val="0"/>
              <w:spacing w:before="0" w:after="283"/>
              <w:jc w:val="left"/>
              <w:rPr/>
            </w:pPr>
            <w:r>
              <w:rPr/>
              <w:t xml:space="preserve">Degraded fixtures given the </w:t>
            </w:r>
            <w:r>
              <w:rPr>
                <w:rStyle w:val="Emphasis"/>
              </w:rPr>
              <w:t>right</w:t>
            </w:r>
            <w:r>
              <w:rPr/>
              <w:t xml:space="preserve"> spoken message</w:t>
            </w:r>
          </w:p>
        </w:tc>
        <w:tc>
          <w:tcPr>
            <w:tcW w:w="871" w:type="dxa"/>
            <w:tcBorders/>
            <w:vAlign w:val="center"/>
          </w:tcPr>
          <w:p>
            <w:pPr>
              <w:pStyle w:val="TableContents"/>
              <w:bidi w:val="0"/>
              <w:spacing w:before="0" w:after="283"/>
              <w:jc w:val="left"/>
              <w:rPr/>
            </w:pPr>
            <w:r>
              <w:rPr/>
              <w:t>255/498</w:t>
            </w:r>
          </w:p>
        </w:tc>
        <w:tc>
          <w:tcPr>
            <w:tcW w:w="1126" w:type="dxa"/>
            <w:tcBorders/>
            <w:vAlign w:val="center"/>
          </w:tcPr>
          <w:p>
            <w:pPr>
              <w:pStyle w:val="TableContents"/>
              <w:bidi w:val="0"/>
              <w:spacing w:before="0" w:after="283"/>
              <w:jc w:val="left"/>
              <w:rPr/>
            </w:pPr>
            <w:r>
              <w:rPr>
                <w:rStyle w:val="StrongEmphasis"/>
              </w:rPr>
              <w:t>280/498</w:t>
            </w:r>
          </w:p>
        </w:tc>
      </w:tr>
      <w:tr>
        <w:trPr/>
        <w:tc>
          <w:tcPr>
            <w:tcW w:w="3528" w:type="dxa"/>
            <w:tcBorders/>
            <w:vAlign w:val="center"/>
          </w:tcPr>
          <w:p>
            <w:pPr>
              <w:pStyle w:val="TableContents"/>
              <w:bidi w:val="0"/>
              <w:spacing w:before="0" w:after="283"/>
              <w:jc w:val="left"/>
              <w:rPr/>
            </w:pPr>
            <w:r>
              <w:rPr/>
              <w:t xml:space="preserve">Degraded fixtures given the </w:t>
            </w:r>
            <w:r>
              <w:rPr>
                <w:rStyle w:val="Emphasis"/>
              </w:rPr>
              <w:t>wrong</w:t>
            </w:r>
            <w:r>
              <w:rPr/>
              <w:t xml:space="preserve"> message</w:t>
            </w:r>
          </w:p>
        </w:tc>
        <w:tc>
          <w:tcPr>
            <w:tcW w:w="871" w:type="dxa"/>
            <w:tcBorders/>
            <w:vAlign w:val="center"/>
          </w:tcPr>
          <w:p>
            <w:pPr>
              <w:pStyle w:val="TableContents"/>
              <w:bidi w:val="0"/>
              <w:spacing w:before="0" w:after="283"/>
              <w:jc w:val="left"/>
              <w:rPr/>
            </w:pPr>
            <w:r>
              <w:rPr/>
              <w:t>200/498</w:t>
            </w:r>
          </w:p>
        </w:tc>
        <w:tc>
          <w:tcPr>
            <w:tcW w:w="1126" w:type="dxa"/>
            <w:tcBorders/>
            <w:vAlign w:val="center"/>
          </w:tcPr>
          <w:p>
            <w:pPr>
              <w:pStyle w:val="TableContents"/>
              <w:bidi w:val="0"/>
              <w:spacing w:before="0" w:after="283"/>
              <w:jc w:val="left"/>
              <w:rPr/>
            </w:pPr>
            <w:r>
              <w:rPr>
                <w:rStyle w:val="StrongEmphasis"/>
              </w:rPr>
              <w:t>79/498</w:t>
            </w:r>
          </w:p>
        </w:tc>
      </w:tr>
    </w:tbl>
    <w:p>
      <w:pPr>
        <w:pStyle w:val="TextBody"/>
        <w:bidi w:val="0"/>
        <w:spacing w:before="0" w:after="283"/>
        <w:jc w:val="left"/>
        <w:rPr/>
      </w:pPr>
      <w:r>
        <w:rPr>
          <w:rStyle w:val="StrongEmphasis"/>
        </w:rPr>
        <w:t>The finding worth telling them, because it is the one nobody expects:</w:t>
      </w:r>
      <w:r>
        <w:rPr/>
        <w:t xml:space="preserve"> </w:t>
      </w:r>
      <w:r>
        <w:rPr>
          <w:rStyle w:val="SourceText"/>
        </w:rPr>
        <w:t>fill_fraction_max</w:t>
      </w:r>
      <w:r>
        <w:rPr/>
        <w:t xml:space="preserve"> was the single worst number in the project. At 0.90 it refused </w:t>
      </w:r>
      <w:r>
        <w:rPr>
          <w:rStyle w:val="StrongEmphasis"/>
        </w:rPr>
        <w:t>44 of the 93 good photographs</w:t>
      </w:r>
      <w:r>
        <w:rPr/>
        <w:t xml:space="preserve"> as "too close" — including </w:t>
      </w:r>
      <w:r>
        <w:rPr>
          <w:rStyle w:val="StrongEmphasis"/>
        </w:rPr>
        <w:t>9 of 9 patterned</w:t>
      </w:r>
      <w:r>
        <w:rPr/>
        <w:t xml:space="preserve"> fixtures and </w:t>
      </w:r>
      <w:r>
        <w:rPr>
          <w:rStyle w:val="StrongEmphasis"/>
        </w:rPr>
        <w:t>15 of 18 fringe</w:t>
      </w:r>
      <w:r>
        <w:rPr/>
        <w:t xml:space="preserve">. It caught nothing that needed catching. It is now </w:t>
      </w:r>
      <w:r>
        <w:rPr>
          <w:rStyle w:val="StrongEmphasis"/>
        </w:rPr>
        <w:t>off</w:t>
      </w:r>
      <w:r>
        <w:rPr/>
        <w:t>. A threshold that rejects half your good input and catches nothing is worse than no threshold, and we only found it because we labelled fixtures instead of eyeballing.</w:t>
      </w:r>
    </w:p>
    <w:p>
      <w:pPr>
        <w:pStyle w:val="TextBody"/>
        <w:bidi w:val="0"/>
        <w:spacing w:before="0" w:after="283"/>
        <w:jc w:val="left"/>
        <w:rPr/>
      </w:pPr>
      <w:r>
        <w:rPr>
          <w:rStyle w:val="StrongEmphasis"/>
        </w:rPr>
        <w:t>The second finding, which changed the architecture:</w:t>
      </w:r>
      <w:r>
        <w:rPr/>
        <w:t xml:space="preserve"> </w:t>
      </w:r>
      <w:r>
        <w:rPr>
          <w:rStyle w:val="StrongEmphasis"/>
        </w:rPr>
        <w:t>the capture gate cannot see motion blur</w:t>
      </w:r>
      <w:r>
        <w:rPr/>
        <w:t>, because it measures a 240×180 downscale. A 24 px smear on a 1600×1600 fixture:</w:t>
      </w:r>
    </w:p>
    <w:tbl>
      <w:tblPr>
        <w:tblW w:w="5525" w:type="dxa"/>
        <w:jc w:val="left"/>
        <w:tblInd w:w="0" w:type="dxa"/>
        <w:tblLayout w:type="fixed"/>
        <w:tblCellMar>
          <w:top w:w="28" w:type="dxa"/>
          <w:left w:w="28" w:type="dxa"/>
          <w:bottom w:w="28" w:type="dxa"/>
          <w:right w:w="28" w:type="dxa"/>
        </w:tblCellMar>
      </w:tblPr>
      <w:tblGrid>
        <w:gridCol w:w="2220"/>
        <w:gridCol w:w="631"/>
        <w:gridCol w:w="930"/>
        <w:gridCol w:w="1744"/>
      </w:tblGrid>
      <w:tr>
        <w:trPr>
          <w:tblHeader w:val="true"/>
        </w:trPr>
        <w:tc>
          <w:tcPr>
            <w:tcW w:w="2220" w:type="dxa"/>
            <w:tcBorders/>
            <w:vAlign w:val="center"/>
          </w:tcPr>
          <w:p>
            <w:pPr>
              <w:pStyle w:val="TableHeading"/>
              <w:suppressLineNumbers/>
              <w:shd w:fill="DCE6F1" w:val="clear"/>
              <w:bidi w:val="0"/>
              <w:spacing w:before="0" w:after="283"/>
              <w:jc w:val="left"/>
              <w:rPr/>
            </w:pPr>
            <w:r>
              <w:rPr/>
              <w:t>Measured on</w:t>
            </w:r>
          </w:p>
        </w:tc>
        <w:tc>
          <w:tcPr>
            <w:tcW w:w="631" w:type="dxa"/>
            <w:tcBorders/>
            <w:vAlign w:val="center"/>
          </w:tcPr>
          <w:p>
            <w:pPr>
              <w:pStyle w:val="TableHeading"/>
              <w:suppressLineNumbers/>
              <w:shd w:fill="DCE6F1" w:val="clear"/>
              <w:bidi w:val="0"/>
              <w:spacing w:before="0" w:after="283"/>
              <w:jc w:val="left"/>
              <w:rPr/>
            </w:pPr>
            <w:r>
              <w:rPr/>
              <w:t>Clean</w:t>
            </w:r>
          </w:p>
        </w:tc>
        <w:tc>
          <w:tcPr>
            <w:tcW w:w="930" w:type="dxa"/>
            <w:tcBorders/>
            <w:vAlign w:val="center"/>
          </w:tcPr>
          <w:p>
            <w:pPr>
              <w:pStyle w:val="TableHeading"/>
              <w:suppressLineNumbers/>
              <w:shd w:fill="DCE6F1" w:val="clear"/>
              <w:bidi w:val="0"/>
              <w:spacing w:before="0" w:after="283"/>
              <w:jc w:val="left"/>
              <w:rPr/>
            </w:pPr>
            <w:r>
              <w:rPr/>
              <w:t>24 px smear</w:t>
            </w:r>
          </w:p>
        </w:tc>
        <w:tc>
          <w:tcPr>
            <w:tcW w:w="1744" w:type="dxa"/>
            <w:tcBorders/>
            <w:vAlign w:val="center"/>
          </w:tcPr>
          <w:p>
            <w:pPr>
              <w:pStyle w:val="TableHeading"/>
              <w:suppressLineNumbers/>
              <w:shd w:fill="DCE6F1" w:val="clear"/>
              <w:bidi w:val="0"/>
              <w:spacing w:before="0" w:after="283"/>
              <w:jc w:val="left"/>
              <w:rPr/>
            </w:pPr>
            <w:r>
              <w:rPr/>
              <w:t>Threshold = 100</w:t>
            </w:r>
          </w:p>
        </w:tc>
      </w:tr>
      <w:tr>
        <w:trPr/>
        <w:tc>
          <w:tcPr>
            <w:tcW w:w="2220" w:type="dxa"/>
            <w:tcBorders/>
            <w:vAlign w:val="center"/>
          </w:tcPr>
          <w:p>
            <w:pPr>
              <w:pStyle w:val="TableContents"/>
              <w:bidi w:val="0"/>
              <w:spacing w:before="0" w:after="283"/>
              <w:jc w:val="left"/>
              <w:rPr/>
            </w:pPr>
            <w:r>
              <w:rPr/>
              <w:t xml:space="preserve">240×180 — what </w:t>
            </w:r>
            <w:r>
              <w:rPr>
                <w:rStyle w:val="SourceText"/>
              </w:rPr>
              <w:t>gate.js</w:t>
            </w:r>
            <w:r>
              <w:rPr/>
              <w:t xml:space="preserve"> sees</w:t>
            </w:r>
          </w:p>
        </w:tc>
        <w:tc>
          <w:tcPr>
            <w:tcW w:w="631" w:type="dxa"/>
            <w:tcBorders/>
            <w:vAlign w:val="center"/>
          </w:tcPr>
          <w:p>
            <w:pPr>
              <w:pStyle w:val="TableContents"/>
              <w:bidi w:val="0"/>
              <w:spacing w:before="0" w:after="283"/>
              <w:jc w:val="left"/>
              <w:rPr/>
            </w:pPr>
            <w:r>
              <w:rPr/>
              <w:t>659</w:t>
            </w:r>
          </w:p>
        </w:tc>
        <w:tc>
          <w:tcPr>
            <w:tcW w:w="930" w:type="dxa"/>
            <w:tcBorders/>
            <w:vAlign w:val="center"/>
          </w:tcPr>
          <w:p>
            <w:pPr>
              <w:pStyle w:val="TableContents"/>
              <w:bidi w:val="0"/>
              <w:spacing w:before="0" w:after="283"/>
              <w:jc w:val="left"/>
              <w:rPr/>
            </w:pPr>
            <w:r>
              <w:rPr/>
              <w:t>365</w:t>
            </w:r>
          </w:p>
        </w:tc>
        <w:tc>
          <w:tcPr>
            <w:tcW w:w="1744" w:type="dxa"/>
            <w:tcBorders/>
            <w:vAlign w:val="center"/>
          </w:tcPr>
          <w:p>
            <w:pPr>
              <w:pStyle w:val="TableContents"/>
              <w:bidi w:val="0"/>
              <w:spacing w:before="0" w:after="283"/>
              <w:jc w:val="left"/>
              <w:rPr/>
            </w:pPr>
            <w:r>
              <w:rPr>
                <w:rStyle w:val="StrongEmphasis"/>
              </w:rPr>
              <w:t>passes. Blur not detected</w:t>
            </w:r>
          </w:p>
        </w:tc>
      </w:tr>
      <w:tr>
        <w:trPr/>
        <w:tc>
          <w:tcPr>
            <w:tcW w:w="2220" w:type="dxa"/>
            <w:tcBorders/>
            <w:vAlign w:val="center"/>
          </w:tcPr>
          <w:p>
            <w:pPr>
              <w:pStyle w:val="TableContents"/>
              <w:bidi w:val="0"/>
              <w:spacing w:before="0" w:after="283"/>
              <w:jc w:val="left"/>
              <w:rPr/>
            </w:pPr>
            <w:r>
              <w:rPr/>
              <w:t>Full resolution — what the server sees</w:t>
            </w:r>
          </w:p>
        </w:tc>
        <w:tc>
          <w:tcPr>
            <w:tcW w:w="631" w:type="dxa"/>
            <w:tcBorders/>
            <w:vAlign w:val="center"/>
          </w:tcPr>
          <w:p>
            <w:pPr>
              <w:pStyle w:val="TableContents"/>
              <w:bidi w:val="0"/>
              <w:spacing w:before="0" w:after="283"/>
              <w:jc w:val="left"/>
              <w:rPr/>
            </w:pPr>
            <w:r>
              <w:rPr/>
              <w:t>141</w:t>
            </w:r>
          </w:p>
        </w:tc>
        <w:tc>
          <w:tcPr>
            <w:tcW w:w="930" w:type="dxa"/>
            <w:tcBorders/>
            <w:vAlign w:val="center"/>
          </w:tcPr>
          <w:p>
            <w:pPr>
              <w:pStyle w:val="TableContents"/>
              <w:bidi w:val="0"/>
              <w:spacing w:before="0" w:after="283"/>
              <w:jc w:val="left"/>
              <w:rPr/>
            </w:pPr>
            <w:r>
              <w:rPr/>
              <w:t>46</w:t>
            </w:r>
          </w:p>
        </w:tc>
        <w:tc>
          <w:tcPr>
            <w:tcW w:w="1744" w:type="dxa"/>
            <w:tcBorders/>
            <w:vAlign w:val="center"/>
          </w:tcPr>
          <w:p>
            <w:pPr>
              <w:pStyle w:val="TableContents"/>
              <w:bidi w:val="0"/>
              <w:spacing w:before="0" w:after="283"/>
              <w:jc w:val="left"/>
              <w:rPr/>
            </w:pPr>
            <w:r>
              <w:rPr>
                <w:rStyle w:val="StrongEmphasis"/>
              </w:rPr>
              <w:t>rejected, correctly</w:t>
            </w:r>
          </w:p>
        </w:tc>
      </w:tr>
    </w:tbl>
    <w:p>
      <w:pPr>
        <w:pStyle w:val="TextBody"/>
        <w:bidi w:val="0"/>
        <w:spacing w:before="0" w:after="283"/>
        <w:jc w:val="left"/>
        <w:rPr/>
      </w:pPr>
      <w:r>
        <w:rPr/>
        <w:t xml:space="preserve">Downscaling ~7× turns a 24 px smear into ~3.5 px and the Laplacian recovers. So the capture blur check fails in </w:t>
      </w:r>
      <w:r>
        <w:rPr>
          <w:rStyle w:val="StrongEmphasis"/>
        </w:rPr>
        <w:t>both</w:t>
      </w:r>
      <w:r>
        <w:rPr/>
        <w:t xml:space="preserve"> directions: it false-rejects sharp plain-weave fabric that has no edges to measure, and it false-accepts genuine hand-shake.</w:t>
      </w:r>
    </w:p>
    <w:p>
      <w:pPr>
        <w:pStyle w:val="TextBody"/>
        <w:bidi w:val="0"/>
        <w:spacing w:before="0" w:after="283"/>
        <w:jc w:val="left"/>
        <w:rPr/>
      </w:pPr>
      <w:r>
        <w:rPr>
          <w:rStyle w:val="StrongEmphasis"/>
        </w:rPr>
        <w:t>That is why blur is an advisory on the phone and a hard reject only on the server, at full resolution</w:t>
      </w:r>
      <w:r>
        <w:rPr/>
        <w:t xml:space="preserve"> — </w:t>
      </w:r>
      <w:r>
        <w:rPr>
          <w:rStyle w:val="SourceText"/>
        </w:rPr>
        <w:t>blur_laplacian_variance_min</w:t>
      </w:r>
      <w:r>
        <w:rPr/>
        <w:t xml:space="preserve"> = 100 advisory, </w:t>
      </w:r>
      <w:r>
        <w:rPr>
          <w:rStyle w:val="SourceText"/>
        </w:rPr>
        <w:t>blur_laplacian_variance_reject_min</w:t>
      </w:r>
      <w:r>
        <w:rPr/>
        <w:t xml:space="preserve"> = 20 server-side. Two numbers, deliberately not collapsed into one; there is a test asserting they have not been.</w:t>
      </w:r>
    </w:p>
    <w:p>
      <w:pPr>
        <w:pStyle w:val="TextBody"/>
        <w:bidi w:val="0"/>
        <w:spacing w:before="0" w:after="283"/>
        <w:jc w:val="left"/>
        <w:rPr/>
      </w:pPr>
      <w:r>
        <w:rPr>
          <w:rStyle w:val="StrongEmphasis"/>
        </w:rPr>
        <w:t>Both gates read the same file.</w:t>
      </w:r>
      <w:r>
        <w:rPr/>
        <w:t xml:space="preserve"> </w:t>
      </w:r>
      <w:r>
        <w:rPr>
          <w:rStyle w:val="SourceText"/>
        </w:rPr>
        <w:t>ai/thresholds.json</w:t>
      </w:r>
      <w:r>
        <w:rPr/>
        <w:t>, fetched at runtime, never a second copy (</w:t>
      </w:r>
      <w:r>
        <w:rPr>
          <w:rStyle w:val="SourceText"/>
        </w:rPr>
        <w:t>CLAUDE.md</w:t>
      </w:r>
      <w:r>
        <w:rPr/>
        <w:t xml:space="preserve">). The luma, Laplacian and exposure functions live in one module — </w:t>
      </w:r>
      <w:r>
        <w:rPr>
          <w:rStyle w:val="SourceText"/>
        </w:rPr>
        <w:t>ai/enhance/metrics.py</w:t>
      </w:r>
      <w:r>
        <w:rPr/>
        <w:t xml:space="preserve"> — imported by both the server gate and </w:t>
      </w:r>
      <w:r>
        <w:rPr>
          <w:rStyle w:val="SourceText"/>
        </w:rPr>
        <w:t>images/check.py</w:t>
      </w:r>
      <w:r>
        <w:rPr/>
        <w:t xml:space="preserve">, because they were briefly duplicated and </w:t>
      </w:r>
      <w:r>
        <w:rPr>
          <w:rStyle w:val="Emphasis"/>
        </w:rPr>
        <w:t>"a second copy that drifted by a rounding rule would mean the gate no longer does what the fixtures say it does."</w:t>
      </w:r>
      <w:r>
        <w:rPr/>
        <w:t xml:space="preserve"> Every threshold was calibrated with those exact functions.</w:t>
      </w:r>
    </w:p>
    <w:p>
      <w:pPr>
        <w:pStyle w:val="TextBody"/>
        <w:bidi w:val="0"/>
        <w:spacing w:before="0" w:after="283"/>
        <w:jc w:val="left"/>
        <w:rPr/>
      </w:pPr>
      <w:r>
        <w:rPr>
          <w:rStyle w:val="StrongEmphasis"/>
        </w:rPr>
        <w:t>Breaks when.</w:t>
      </w:r>
      <w:r>
        <w:rPr/>
        <w:t xml:space="preserve"> 21 in 93 good photographs still get an unnecessary retake. And the fixture set is </w:t>
      </w:r>
      <w:r>
        <w:rPr>
          <w:rStyle w:val="StrongEmphasis"/>
        </w:rPr>
        <w:t>web-sourced</w:t>
      </w:r>
      <w:r>
        <w:rPr/>
        <w:t xml:space="preserve">, not shot by artisans on ₹7,000 phones in Indian light. That is the honest ceiling on all of these numbers, it is written in </w:t>
      </w:r>
      <w:r>
        <w:rPr>
          <w:rStyle w:val="SourceText"/>
        </w:rPr>
        <w:t>research/RESULTS.md</w:t>
      </w:r>
      <w:r>
        <w:rPr/>
        <w:t>, and a field fixture set is the next calibration round.</w:t>
      </w:r>
    </w:p>
    <w:p>
      <w:pPr>
        <w:pStyle w:val="HorizontalLine"/>
        <w:pBdr>
          <w:bottom w:val="double" w:sz="2" w:space="0" w:color="808080"/>
        </w:pBdr>
        <w:bidi w:val="0"/>
        <w:spacing w:before="0" w:after="283"/>
        <w:jc w:val="left"/>
        <w:rPr/>
      </w:pPr>
      <w:r>
        <w:rPr/>
      </w:r>
    </w:p>
    <w:p>
      <w:pPr>
        <w:pStyle w:val="Heading2"/>
        <w:bidi w:val="0"/>
        <w:jc w:val="left"/>
        <w:rPr/>
      </w:pPr>
      <w:r>
        <w:rPr/>
        <w:t>Q2.4 — "Show me the photograph your pipeline gets wrong."</w:t>
      </w:r>
    </w:p>
    <w:p>
      <w:pPr>
        <w:pStyle w:val="TextBody"/>
        <w:bidi w:val="0"/>
        <w:spacing w:before="0" w:after="283"/>
        <w:jc w:val="left"/>
        <w:rPr/>
      </w:pPr>
      <w:r>
        <w:rPr>
          <w:rStyle w:val="StrongEmphasis"/>
        </w:rPr>
        <w:t>Think.</w:t>
      </w:r>
      <w:r>
        <w:rPr/>
        <w:t xml:space="preserve"> Have the list ready. Refusing to name a failure case reads as not having looked.</w:t>
      </w:r>
    </w:p>
    <w:p>
      <w:pPr>
        <w:pStyle w:val="TextBody"/>
        <w:bidi w:val="0"/>
        <w:spacing w:before="0" w:after="283"/>
        <w:jc w:val="left"/>
        <w:rPr/>
      </w:pPr>
      <w:r>
        <w:rPr>
          <w:rStyle w:val="StrongEmphasis"/>
        </w:rPr>
        <w:t xml:space="preserve">Today — five, from </w:t>
      </w:r>
      <w:r>
        <w:rPr>
          <w:rStyle w:val="SourceText"/>
        </w:rPr>
        <w:t>docs/Master-Technical-Reference.md</w:t>
      </w:r>
      <w:r>
        <w:rPr>
          <w:rStyle w:val="StrongEmphasis"/>
        </w:rPr>
        <w:t xml:space="preserve"> §5.5, and the benchmark agrees:</w:t>
      </w:r>
    </w:p>
    <w:tbl>
      <w:tblPr>
        <w:tblW w:w="5525" w:type="dxa"/>
        <w:jc w:val="left"/>
        <w:tblInd w:w="0" w:type="dxa"/>
        <w:tblLayout w:type="fixed"/>
        <w:tblCellMar>
          <w:top w:w="28" w:type="dxa"/>
          <w:left w:w="28" w:type="dxa"/>
          <w:bottom w:w="28" w:type="dxa"/>
          <w:right w:w="28" w:type="dxa"/>
        </w:tblCellMar>
      </w:tblPr>
      <w:tblGrid>
        <w:gridCol w:w="2660"/>
        <w:gridCol w:w="2865"/>
      </w:tblGrid>
      <w:tr>
        <w:trPr>
          <w:tblHeader w:val="true"/>
        </w:trPr>
        <w:tc>
          <w:tcPr>
            <w:tcW w:w="2660" w:type="dxa"/>
            <w:tcBorders/>
            <w:vAlign w:val="center"/>
          </w:tcPr>
          <w:p>
            <w:pPr>
              <w:pStyle w:val="TableHeading"/>
              <w:suppressLineNumbers/>
              <w:shd w:fill="DCE6F1" w:val="clear"/>
              <w:bidi w:val="0"/>
              <w:spacing w:before="0" w:after="283"/>
              <w:jc w:val="left"/>
              <w:rPr/>
            </w:pPr>
            <w:r>
              <w:rPr/>
              <w:t>Case</w:t>
            </w:r>
          </w:p>
        </w:tc>
        <w:tc>
          <w:tcPr>
            <w:tcW w:w="2865" w:type="dxa"/>
            <w:tcBorders/>
            <w:vAlign w:val="center"/>
          </w:tcPr>
          <w:p>
            <w:pPr>
              <w:pStyle w:val="TableHeading"/>
              <w:suppressLineNumbers/>
              <w:shd w:fill="DCE6F1" w:val="clear"/>
              <w:bidi w:val="0"/>
              <w:spacing w:before="0" w:after="283"/>
              <w:jc w:val="left"/>
              <w:rPr/>
            </w:pPr>
            <w:r>
              <w:rPr/>
              <w:t>What goes wrong</w:t>
            </w:r>
          </w:p>
        </w:tc>
      </w:tr>
      <w:tr>
        <w:trPr/>
        <w:tc>
          <w:tcPr>
            <w:tcW w:w="2660" w:type="dxa"/>
            <w:tcBorders/>
            <w:vAlign w:val="center"/>
          </w:tcPr>
          <w:p>
            <w:pPr>
              <w:pStyle w:val="TableContents"/>
              <w:bidi w:val="0"/>
              <w:spacing w:before="0" w:after="283"/>
              <w:jc w:val="left"/>
              <w:rPr/>
            </w:pPr>
            <w:r>
              <w:rPr/>
              <w:t>Reflective metal — dhokra, bell metal, brass</w:t>
            </w:r>
          </w:p>
        </w:tc>
        <w:tc>
          <w:tcPr>
            <w:tcW w:w="2865" w:type="dxa"/>
            <w:tcBorders/>
            <w:vAlign w:val="center"/>
          </w:tcPr>
          <w:p>
            <w:pPr>
              <w:pStyle w:val="TableContents"/>
              <w:bidi w:val="0"/>
              <w:spacing w:before="0" w:after="283"/>
              <w:jc w:val="left"/>
              <w:rPr/>
            </w:pPr>
            <w:r>
              <w:rPr/>
              <w:t>Specular highlights blow out; segmentation confused</w:t>
            </w:r>
          </w:p>
        </w:tc>
      </w:tr>
      <w:tr>
        <w:trPr/>
        <w:tc>
          <w:tcPr>
            <w:tcW w:w="2660" w:type="dxa"/>
            <w:tcBorders/>
            <w:vAlign w:val="center"/>
          </w:tcPr>
          <w:p>
            <w:pPr>
              <w:pStyle w:val="TableContents"/>
              <w:bidi w:val="0"/>
              <w:spacing w:before="0" w:after="283"/>
              <w:jc w:val="left"/>
              <w:rPr/>
            </w:pPr>
            <w:r>
              <w:rPr/>
              <w:t>Transparent / translucent — glass, muslin, chanderi</w:t>
            </w:r>
          </w:p>
        </w:tc>
        <w:tc>
          <w:tcPr>
            <w:tcW w:w="2865" w:type="dxa"/>
            <w:tcBorders/>
            <w:vAlign w:val="center"/>
          </w:tcPr>
          <w:p>
            <w:pPr>
              <w:pStyle w:val="TableContents"/>
              <w:bidi w:val="0"/>
              <w:spacing w:before="0" w:after="283"/>
              <w:jc w:val="left"/>
              <w:rPr/>
            </w:pPr>
            <w:r>
              <w:rPr/>
              <w:t>Alpha matting; a binary mask slices the pallu off</w:t>
            </w:r>
          </w:p>
        </w:tc>
      </w:tr>
      <w:tr>
        <w:trPr/>
        <w:tc>
          <w:tcPr>
            <w:tcW w:w="2660" w:type="dxa"/>
            <w:tcBorders/>
            <w:vAlign w:val="center"/>
          </w:tcPr>
          <w:p>
            <w:pPr>
              <w:pStyle w:val="TableContents"/>
              <w:bidi w:val="0"/>
              <w:spacing w:before="0" w:after="283"/>
              <w:jc w:val="left"/>
              <w:rPr/>
            </w:pPr>
            <w:r>
              <w:rPr/>
              <w:t>Dark product on dark background</w:t>
            </w:r>
          </w:p>
        </w:tc>
        <w:tc>
          <w:tcPr>
            <w:tcW w:w="2865" w:type="dxa"/>
            <w:tcBorders/>
            <w:vAlign w:val="center"/>
          </w:tcPr>
          <w:p>
            <w:pPr>
              <w:pStyle w:val="TableContents"/>
              <w:bidi w:val="0"/>
              <w:spacing w:before="0" w:after="283"/>
              <w:jc w:val="left"/>
              <w:rPr/>
            </w:pPr>
            <w:r>
              <w:rPr/>
              <w:t>Segmentation fails outright</w:t>
            </w:r>
          </w:p>
        </w:tc>
      </w:tr>
      <w:tr>
        <w:trPr/>
        <w:tc>
          <w:tcPr>
            <w:tcW w:w="2660" w:type="dxa"/>
            <w:tcBorders/>
            <w:vAlign w:val="center"/>
          </w:tcPr>
          <w:p>
            <w:pPr>
              <w:pStyle w:val="TableContents"/>
              <w:bidi w:val="0"/>
              <w:spacing w:before="0" w:after="283"/>
              <w:jc w:val="left"/>
              <w:rPr/>
            </w:pPr>
            <w:r>
              <w:rPr/>
              <w:t>Fine fringes and tassels</w:t>
            </w:r>
          </w:p>
        </w:tc>
        <w:tc>
          <w:tcPr>
            <w:tcW w:w="2865" w:type="dxa"/>
            <w:tcBorders/>
            <w:vAlign w:val="center"/>
          </w:tcPr>
          <w:p>
            <w:pPr>
              <w:pStyle w:val="TableContents"/>
              <w:bidi w:val="0"/>
              <w:spacing w:before="0" w:after="283"/>
              <w:jc w:val="left"/>
              <w:rPr/>
            </w:pPr>
            <w:r>
              <w:rPr/>
              <w:t>Binary mask chops them — this is why BiRefNet won</w:t>
            </w:r>
          </w:p>
        </w:tc>
      </w:tr>
      <w:tr>
        <w:trPr/>
        <w:tc>
          <w:tcPr>
            <w:tcW w:w="2660" w:type="dxa"/>
            <w:tcBorders/>
            <w:vAlign w:val="center"/>
          </w:tcPr>
          <w:p>
            <w:pPr>
              <w:pStyle w:val="TableContents"/>
              <w:bidi w:val="0"/>
              <w:spacing w:before="0" w:after="283"/>
              <w:jc w:val="left"/>
              <w:rPr/>
            </w:pPr>
            <w:r>
              <w:rPr/>
              <w:t>Jewellery</w:t>
            </w:r>
          </w:p>
        </w:tc>
        <w:tc>
          <w:tcPr>
            <w:tcW w:w="2865" w:type="dxa"/>
            <w:tcBorders/>
            <w:vAlign w:val="center"/>
          </w:tcPr>
          <w:p>
            <w:pPr>
              <w:pStyle w:val="TableContents"/>
              <w:bidi w:val="0"/>
              <w:spacing w:before="0" w:after="283"/>
              <w:jc w:val="left"/>
              <w:rPr/>
            </w:pPr>
            <w:r>
              <w:rPr/>
              <w:t>Too small; phone macro struggles</w:t>
            </w:r>
          </w:p>
        </w:tc>
      </w:tr>
    </w:tbl>
    <w:p>
      <w:pPr>
        <w:pStyle w:val="TextBody"/>
        <w:bidi w:val="0"/>
        <w:spacing w:before="0" w:after="283"/>
        <w:jc w:val="left"/>
        <w:rPr/>
      </w:pPr>
      <w:r>
        <w:rPr/>
        <w:t xml:space="preserve">Benchmark confirmation: </w:t>
      </w:r>
      <w:r>
        <w:rPr>
          <w:rStyle w:val="StrongEmphasis"/>
        </w:rPr>
        <w:t>adversarial group mean consensus IoU 0.616</w:t>
      </w:r>
      <w:r>
        <w:rPr/>
        <w:t xml:space="preserve">, against 0.99 for low contrast and 0.98 for a person-in-frame. And consensus IoU measures </w:t>
      </w:r>
      <w:r>
        <w:rPr>
          <w:rStyle w:val="Emphasis"/>
        </w:rPr>
        <w:t>agreement, not correctness</w:t>
      </w:r>
      <w:r>
        <w:rPr/>
        <w:t xml:space="preserve"> — five models can agree and all be wrong. We wrote that caveat into the results file rather than quoting 0.99 as accuracy.</w:t>
      </w:r>
    </w:p>
    <w:p>
      <w:pPr>
        <w:pStyle w:val="TextBody"/>
        <w:bidi w:val="0"/>
        <w:spacing w:before="0" w:after="283"/>
        <w:jc w:val="left"/>
        <w:rPr/>
      </w:pPr>
      <w:r>
        <w:rPr>
          <w:rStyle w:val="StrongEmphasis"/>
        </w:rPr>
        <w:t>What handles it today.</w:t>
      </w:r>
      <w:r>
        <w:rPr/>
        <w:t xml:space="preserve"> A </w:t>
      </w:r>
      <w:r>
        <w:rPr>
          <w:rStyle w:val="StrongEmphasis"/>
        </w:rPr>
        <w:t>tier system</w:t>
      </w:r>
      <w:r>
        <w:rPr/>
        <w:t xml:space="preserve">. </w:t>
      </w:r>
      <w:r>
        <w:rPr>
          <w:rStyle w:val="SourceText"/>
        </w:rPr>
        <w:t>apply_tier()</w:t>
      </w:r>
      <w:r>
        <w:rPr/>
        <w:t xml:space="preserve"> decides how much to trust the mask and degrades the output rather than producing a confidently wrong cutout. </w:t>
      </w:r>
      <w:r>
        <w:rPr>
          <w:rStyle w:val="SourceText"/>
        </w:rPr>
        <w:t>CLAUDE.md</w:t>
      </w:r>
      <w:r>
        <w:rPr/>
        <w:t xml:space="preserve"> lists SAM 2 / EdgeSAM as </w:t>
      </w:r>
      <w:r>
        <w:rPr>
          <w:rStyle w:val="StrongEmphasis"/>
        </w:rPr>
        <w:t>rejected for MVP</w:t>
      </w:r>
      <w:r>
        <w:rPr/>
        <w:t xml:space="preserve"> with the reason: </w:t>
      </w:r>
      <w:r>
        <w:rPr>
          <w:rStyle w:val="Emphasis"/>
        </w:rPr>
        <w:t>"the tier system covers the failure case."</w:t>
      </w:r>
    </w:p>
    <w:p>
      <w:pPr>
        <w:pStyle w:val="TextBody"/>
        <w:bidi w:val="0"/>
        <w:spacing w:before="0" w:after="283"/>
        <w:jc w:val="left"/>
        <w:rPr/>
      </w:pPr>
      <w:r>
        <w:rPr>
          <w:rStyle w:val="StrongEmphasis"/>
        </w:rPr>
        <w:t>Rule 3 is the backstop:</w:t>
      </w:r>
      <w:r>
        <w:rPr/>
        <w:t xml:space="preserve"> </w:t>
      </w:r>
      <w:r>
        <w:rPr>
          <w:rStyle w:val="Emphasis"/>
        </w:rPr>
        <w:t>"Losing the enhancement costs a prettier photo; it must never cost the artisan the listing."</w:t>
      </w:r>
      <w:r>
        <w:rPr/>
        <w:t xml:space="preserve"> A failed enhance falls back to the artisan's own photograph (</w:t>
      </w:r>
      <w:r>
        <w:rPr>
          <w:rStyle w:val="SourceText"/>
        </w:rPr>
        <w:t>web/api/routers/products.py</w:t>
      </w:r>
      <w:r>
        <w:rPr/>
        <w:t>), and the listing publishes.</w:t>
      </w:r>
    </w:p>
    <w:p>
      <w:pPr>
        <w:pStyle w:val="TextBody"/>
        <w:bidi w:val="0"/>
        <w:spacing w:before="0" w:after="283"/>
        <w:jc w:val="left"/>
        <w:rPr/>
      </w:pPr>
      <w:r>
        <w:rPr>
          <w:rStyle w:val="StrongEmphasis"/>
        </w:rPr>
        <w:t>At scale.</w:t>
      </w:r>
      <w:r>
        <w:rPr/>
        <w:t xml:space="preserve"> SAM 2 tap-to-refine — the artisan taps the product when auto-matting fails — is the designed fallback and is not built. For jewellery and glass specifically, the honest medium-term answer is a per-category route rather than one model for everything.</w:t>
      </w:r>
    </w:p>
    <w:p>
      <w:pPr>
        <w:pStyle w:val="TextBody"/>
        <w:bidi w:val="0"/>
        <w:spacing w:before="0" w:after="283"/>
        <w:jc w:val="left"/>
        <w:rPr/>
      </w:pPr>
      <w:r>
        <w:rPr>
          <w:rStyle w:val="StrongEmphasis"/>
        </w:rPr>
        <w:t>Breaks when.</w:t>
      </w:r>
      <w:r>
        <w:rPr/>
        <w:t xml:space="preserve"> A dark brass idol on a dark cloth in low light. That photograph fails the gate, fails the matte, and has no white balance to save it. We would show the artisan their own unenhanced photo and publish it.</w:t>
      </w:r>
    </w:p>
    <w:p>
      <w:pPr>
        <w:pStyle w:val="HorizontalLine"/>
        <w:pBdr>
          <w:bottom w:val="double" w:sz="2" w:space="0" w:color="808080"/>
        </w:pBdr>
        <w:bidi w:val="0"/>
        <w:spacing w:before="0" w:after="283"/>
        <w:jc w:val="left"/>
        <w:rPr/>
      </w:pPr>
      <w:r>
        <w:rPr/>
      </w:r>
    </w:p>
    <w:p>
      <w:pPr>
        <w:pStyle w:val="Heading2"/>
        <w:bidi w:val="0"/>
        <w:jc w:val="left"/>
        <w:rPr/>
      </w:pPr>
      <w:r>
        <w:rPr/>
        <w:t>Q2.5 — "How fast is it, and what is the bottleneck?"</w:t>
      </w:r>
    </w:p>
    <w:p>
      <w:pPr>
        <w:pStyle w:val="TextBody"/>
        <w:bidi w:val="0"/>
        <w:spacing w:before="0" w:after="283"/>
        <w:jc w:val="left"/>
        <w:rPr/>
      </w:pPr>
      <w:r>
        <w:rPr>
          <w:rStyle w:val="StrongEmphasis"/>
        </w:rPr>
        <w:t>Think.</w:t>
      </w:r>
      <w:r>
        <w:rPr/>
        <w:t xml:space="preserve"> Give the profile. The interesting part is that the bottleneck was never the model, and that finding is more impressive than a fast number.</w:t>
      </w:r>
    </w:p>
    <w:p>
      <w:pPr>
        <w:pStyle w:val="TextBody"/>
        <w:bidi w:val="0"/>
        <w:spacing w:before="0" w:after="283"/>
        <w:jc w:val="left"/>
        <w:rPr/>
      </w:pPr>
      <w:r>
        <w:rPr>
          <w:rStyle w:val="StrongEmphasis"/>
        </w:rPr>
        <w:t>Today.</w:t>
      </w:r>
      <w:r>
        <w:rPr/>
        <w:t xml:space="preserve"> Measured 2026-09-02, RTX 4060, model warm, one 12 MP phone photograph:</w:t>
      </w:r>
    </w:p>
    <w:tbl>
      <w:tblPr>
        <w:tblW w:w="5525" w:type="dxa"/>
        <w:jc w:val="left"/>
        <w:tblInd w:w="0" w:type="dxa"/>
        <w:tblLayout w:type="fixed"/>
        <w:tblCellMar>
          <w:top w:w="28" w:type="dxa"/>
          <w:left w:w="28" w:type="dxa"/>
          <w:bottom w:w="28" w:type="dxa"/>
          <w:right w:w="28" w:type="dxa"/>
        </w:tblCellMar>
      </w:tblPr>
      <w:tblGrid>
        <w:gridCol w:w="2716"/>
        <w:gridCol w:w="812"/>
        <w:gridCol w:w="1997"/>
      </w:tblGrid>
      <w:tr>
        <w:trPr>
          <w:tblHeader w:val="true"/>
        </w:trPr>
        <w:tc>
          <w:tcPr>
            <w:tcW w:w="2716" w:type="dxa"/>
            <w:tcBorders/>
            <w:vAlign w:val="center"/>
          </w:tcPr>
          <w:p>
            <w:pPr>
              <w:pStyle w:val="TableHeading"/>
              <w:suppressLineNumbers/>
              <w:shd w:fill="DCE6F1" w:val="clear"/>
              <w:bidi w:val="0"/>
              <w:spacing w:before="0" w:after="283"/>
              <w:jc w:val="left"/>
              <w:rPr/>
            </w:pPr>
            <w:r>
              <w:rPr/>
              <w:t>Stage</w:t>
            </w:r>
          </w:p>
        </w:tc>
        <w:tc>
          <w:tcPr>
            <w:tcW w:w="812" w:type="dxa"/>
            <w:tcBorders/>
            <w:vAlign w:val="center"/>
          </w:tcPr>
          <w:p>
            <w:pPr>
              <w:pStyle w:val="TableHeading"/>
              <w:suppressLineNumbers/>
              <w:shd w:fill="DCE6F1" w:val="clear"/>
              <w:bidi w:val="0"/>
              <w:spacing w:before="0" w:after="283"/>
              <w:jc w:val="left"/>
              <w:rPr/>
            </w:pPr>
            <w:r>
              <w:rPr/>
              <w:t>Time</w:t>
            </w:r>
          </w:p>
        </w:tc>
        <w:tc>
          <w:tcPr>
            <w:tcW w:w="1997" w:type="dxa"/>
            <w:tcBorders/>
            <w:vAlign w:val="center"/>
          </w:tcPr>
          <w:p>
            <w:pPr>
              <w:pStyle w:val="TableHeading"/>
              <w:suppressLineNumbers/>
              <w:shd w:fill="DCE6F1" w:val="clear"/>
              <w:bidi w:val="0"/>
              <w:spacing w:before="0" w:after="283"/>
              <w:jc w:val="left"/>
              <w:rPr/>
            </w:pPr>
            <w:r>
              <w:rPr/>
              <w:t>Where</w:t>
            </w:r>
          </w:p>
        </w:tc>
      </w:tr>
      <w:tr>
        <w:trPr/>
        <w:tc>
          <w:tcPr>
            <w:tcW w:w="2716" w:type="dxa"/>
            <w:tcBorders/>
            <w:vAlign w:val="center"/>
          </w:tcPr>
          <w:p>
            <w:pPr>
              <w:pStyle w:val="TableContents"/>
              <w:bidi w:val="0"/>
              <w:spacing w:before="0" w:after="283"/>
              <w:jc w:val="left"/>
              <w:rPr/>
            </w:pPr>
            <w:r>
              <w:rPr/>
              <w:t>JPEG decode</w:t>
            </w:r>
          </w:p>
        </w:tc>
        <w:tc>
          <w:tcPr>
            <w:tcW w:w="812" w:type="dxa"/>
            <w:tcBorders/>
            <w:vAlign w:val="center"/>
          </w:tcPr>
          <w:p>
            <w:pPr>
              <w:pStyle w:val="TableContents"/>
              <w:bidi w:val="0"/>
              <w:spacing w:before="0" w:after="283"/>
              <w:jc w:val="left"/>
              <w:rPr/>
            </w:pPr>
            <w:r>
              <w:rPr/>
              <w:t>~100 ms</w:t>
            </w:r>
          </w:p>
        </w:tc>
        <w:tc>
          <w:tcPr>
            <w:tcW w:w="1997" w:type="dxa"/>
            <w:tcBorders/>
            <w:vAlign w:val="center"/>
          </w:tcPr>
          <w:p>
            <w:pPr>
              <w:pStyle w:val="TableContents"/>
              <w:bidi w:val="0"/>
              <w:spacing w:before="0" w:after="283"/>
              <w:jc w:val="left"/>
              <w:rPr/>
            </w:pPr>
            <w:r>
              <w:rPr/>
              <w:t>CPU</w:t>
            </w:r>
          </w:p>
        </w:tc>
      </w:tr>
      <w:tr>
        <w:trPr/>
        <w:tc>
          <w:tcPr>
            <w:tcW w:w="2716" w:type="dxa"/>
            <w:tcBorders/>
            <w:vAlign w:val="center"/>
          </w:tcPr>
          <w:p>
            <w:pPr>
              <w:pStyle w:val="TableContents"/>
              <w:bidi w:val="0"/>
              <w:spacing w:before="0" w:after="283"/>
              <w:jc w:val="left"/>
              <w:rPr/>
            </w:pPr>
            <w:r>
              <w:rPr>
                <w:rStyle w:val="SourceText"/>
              </w:rPr>
              <w:t>gate()</w:t>
            </w:r>
            <w:r>
              <w:rPr/>
              <w:t xml:space="preserve"> blur/resolution</w:t>
            </w:r>
          </w:p>
        </w:tc>
        <w:tc>
          <w:tcPr>
            <w:tcW w:w="812" w:type="dxa"/>
            <w:tcBorders/>
            <w:vAlign w:val="center"/>
          </w:tcPr>
          <w:p>
            <w:pPr>
              <w:pStyle w:val="TableContents"/>
              <w:bidi w:val="0"/>
              <w:spacing w:before="0" w:after="283"/>
              <w:jc w:val="left"/>
              <w:rPr/>
            </w:pPr>
            <w:r>
              <w:rPr/>
              <w:t>375 ms</w:t>
            </w:r>
          </w:p>
        </w:tc>
        <w:tc>
          <w:tcPr>
            <w:tcW w:w="1997" w:type="dxa"/>
            <w:tcBorders/>
            <w:vAlign w:val="center"/>
          </w:tcPr>
          <w:p>
            <w:pPr>
              <w:pStyle w:val="TableContents"/>
              <w:bidi w:val="0"/>
              <w:spacing w:before="0" w:after="283"/>
              <w:jc w:val="left"/>
              <w:rPr/>
            </w:pPr>
            <w:r>
              <w:rPr/>
              <w:t>CPU, full 12 MP array</w:t>
            </w:r>
          </w:p>
        </w:tc>
      </w:tr>
      <w:tr>
        <w:trPr/>
        <w:tc>
          <w:tcPr>
            <w:tcW w:w="2716" w:type="dxa"/>
            <w:tcBorders/>
            <w:vAlign w:val="center"/>
          </w:tcPr>
          <w:p>
            <w:pPr>
              <w:pStyle w:val="TableContents"/>
              <w:bidi w:val="0"/>
              <w:spacing w:before="0" w:after="283"/>
              <w:jc w:val="left"/>
              <w:rPr/>
            </w:pPr>
            <w:r>
              <w:rPr>
                <w:rStyle w:val="SourceText"/>
              </w:rPr>
              <w:t>to_master()</w:t>
            </w:r>
            <w:r>
              <w:rPr/>
              <w:t xml:space="preserve"> 12 MP → 2000 px</w:t>
            </w:r>
          </w:p>
        </w:tc>
        <w:tc>
          <w:tcPr>
            <w:tcW w:w="812" w:type="dxa"/>
            <w:tcBorders/>
            <w:vAlign w:val="center"/>
          </w:tcPr>
          <w:p>
            <w:pPr>
              <w:pStyle w:val="TableContents"/>
              <w:bidi w:val="0"/>
              <w:spacing w:before="0" w:after="283"/>
              <w:jc w:val="left"/>
              <w:rPr/>
            </w:pPr>
            <w:r>
              <w:rPr/>
              <w:t>168 ms</w:t>
            </w:r>
          </w:p>
        </w:tc>
        <w:tc>
          <w:tcPr>
            <w:tcW w:w="1997" w:type="dxa"/>
            <w:tcBorders/>
            <w:vAlign w:val="center"/>
          </w:tcPr>
          <w:p>
            <w:pPr>
              <w:pStyle w:val="TableContents"/>
              <w:bidi w:val="0"/>
              <w:spacing w:before="0" w:after="283"/>
              <w:jc w:val="left"/>
              <w:rPr/>
            </w:pPr>
            <w:r>
              <w:rPr/>
              <w:t>CPU LANCZOS</w:t>
            </w:r>
          </w:p>
        </w:tc>
      </w:tr>
      <w:tr>
        <w:trPr/>
        <w:tc>
          <w:tcPr>
            <w:tcW w:w="2716" w:type="dxa"/>
            <w:tcBorders/>
            <w:vAlign w:val="center"/>
          </w:tcPr>
          <w:p>
            <w:pPr>
              <w:pStyle w:val="TableContents"/>
              <w:bidi w:val="0"/>
              <w:spacing w:before="0" w:after="283"/>
              <w:jc w:val="left"/>
              <w:rPr/>
            </w:pPr>
            <w:r>
              <w:rPr>
                <w:rStyle w:val="StrongEmphasis"/>
              </w:rPr>
              <w:t>BiRefNet segment</w:t>
            </w:r>
          </w:p>
        </w:tc>
        <w:tc>
          <w:tcPr>
            <w:tcW w:w="812" w:type="dxa"/>
            <w:tcBorders/>
            <w:vAlign w:val="center"/>
          </w:tcPr>
          <w:p>
            <w:pPr>
              <w:pStyle w:val="TableContents"/>
              <w:bidi w:val="0"/>
              <w:spacing w:before="0" w:after="283"/>
              <w:jc w:val="left"/>
              <w:rPr/>
            </w:pPr>
            <w:r>
              <w:rPr>
                <w:rStyle w:val="StrongEmphasis"/>
              </w:rPr>
              <w:t>402 ms</w:t>
            </w:r>
          </w:p>
        </w:tc>
        <w:tc>
          <w:tcPr>
            <w:tcW w:w="1997" w:type="dxa"/>
            <w:tcBorders/>
            <w:vAlign w:val="center"/>
          </w:tcPr>
          <w:p>
            <w:pPr>
              <w:pStyle w:val="TableContents"/>
              <w:bidi w:val="0"/>
              <w:spacing w:before="0" w:after="283"/>
              <w:jc w:val="left"/>
              <w:rPr/>
            </w:pPr>
            <w:r>
              <w:rPr/>
              <w:t>GPU</w:t>
            </w:r>
          </w:p>
        </w:tc>
      </w:tr>
      <w:tr>
        <w:trPr/>
        <w:tc>
          <w:tcPr>
            <w:tcW w:w="2716" w:type="dxa"/>
            <w:tcBorders/>
            <w:vAlign w:val="center"/>
          </w:tcPr>
          <w:p>
            <w:pPr>
              <w:pStyle w:val="TableContents"/>
              <w:bidi w:val="0"/>
              <w:spacing w:before="0" w:after="283"/>
              <w:jc w:val="left"/>
              <w:rPr/>
            </w:pPr>
            <w:r>
              <w:rPr>
                <w:rStyle w:val="SourceText"/>
              </w:rPr>
              <w:t>apply_tier()</w:t>
            </w:r>
          </w:p>
        </w:tc>
        <w:tc>
          <w:tcPr>
            <w:tcW w:w="812" w:type="dxa"/>
            <w:tcBorders/>
            <w:vAlign w:val="center"/>
          </w:tcPr>
          <w:p>
            <w:pPr>
              <w:pStyle w:val="TableContents"/>
              <w:bidi w:val="0"/>
              <w:spacing w:before="0" w:after="283"/>
              <w:jc w:val="left"/>
              <w:rPr/>
            </w:pPr>
            <w:r>
              <w:rPr/>
              <w:t>124 ms</w:t>
            </w:r>
          </w:p>
        </w:tc>
        <w:tc>
          <w:tcPr>
            <w:tcW w:w="1997" w:type="dxa"/>
            <w:tcBorders/>
            <w:vAlign w:val="center"/>
          </w:tcPr>
          <w:p>
            <w:pPr>
              <w:pStyle w:val="TableContents"/>
              <w:bidi w:val="0"/>
              <w:spacing w:before="0" w:after="283"/>
              <w:jc w:val="left"/>
              <w:rPr/>
            </w:pPr>
            <w:r>
              <w:rPr/>
              <w:t>CPU</w:t>
            </w:r>
          </w:p>
        </w:tc>
      </w:tr>
      <w:tr>
        <w:trPr/>
        <w:tc>
          <w:tcPr>
            <w:tcW w:w="2716" w:type="dxa"/>
            <w:tcBorders/>
            <w:vAlign w:val="center"/>
          </w:tcPr>
          <w:p>
            <w:pPr>
              <w:pStyle w:val="TableContents"/>
              <w:bidi w:val="0"/>
              <w:spacing w:before="0" w:after="283"/>
              <w:jc w:val="left"/>
              <w:rPr/>
            </w:pPr>
            <w:r>
              <w:rPr>
                <w:rStyle w:val="SourceText"/>
              </w:rPr>
              <w:t>crop()</w:t>
            </w:r>
          </w:p>
        </w:tc>
        <w:tc>
          <w:tcPr>
            <w:tcW w:w="812" w:type="dxa"/>
            <w:tcBorders/>
            <w:vAlign w:val="center"/>
          </w:tcPr>
          <w:p>
            <w:pPr>
              <w:pStyle w:val="TableContents"/>
              <w:bidi w:val="0"/>
              <w:spacing w:before="0" w:after="283"/>
              <w:jc w:val="left"/>
              <w:rPr/>
            </w:pPr>
            <w:r>
              <w:rPr/>
              <w:t>54 ms</w:t>
            </w:r>
          </w:p>
        </w:tc>
        <w:tc>
          <w:tcPr>
            <w:tcW w:w="1997" w:type="dxa"/>
            <w:tcBorders/>
            <w:vAlign w:val="center"/>
          </w:tcPr>
          <w:p>
            <w:pPr>
              <w:pStyle w:val="TableContents"/>
              <w:bidi w:val="0"/>
              <w:spacing w:before="0" w:after="283"/>
              <w:jc w:val="left"/>
              <w:rPr/>
            </w:pPr>
            <w:r>
              <w:rPr/>
              <w:t>CPU</w:t>
            </w:r>
          </w:p>
        </w:tc>
      </w:tr>
      <w:tr>
        <w:trPr/>
        <w:tc>
          <w:tcPr>
            <w:tcW w:w="2716" w:type="dxa"/>
            <w:tcBorders/>
            <w:vAlign w:val="center"/>
          </w:tcPr>
          <w:p>
            <w:pPr>
              <w:pStyle w:val="TableContents"/>
              <w:bidi w:val="0"/>
              <w:spacing w:before="0" w:after="283"/>
              <w:jc w:val="left"/>
              <w:rPr/>
            </w:pPr>
            <w:r>
              <w:rPr/>
              <w:t>encode ×3 targets</w:t>
            </w:r>
          </w:p>
        </w:tc>
        <w:tc>
          <w:tcPr>
            <w:tcW w:w="812" w:type="dxa"/>
            <w:tcBorders/>
            <w:vAlign w:val="center"/>
          </w:tcPr>
          <w:p>
            <w:pPr>
              <w:pStyle w:val="TableContents"/>
              <w:bidi w:val="0"/>
              <w:spacing w:before="0" w:after="283"/>
              <w:jc w:val="left"/>
              <w:rPr/>
            </w:pPr>
            <w:r>
              <w:rPr/>
              <w:t>80 ms</w:t>
            </w:r>
          </w:p>
        </w:tc>
        <w:tc>
          <w:tcPr>
            <w:tcW w:w="1997" w:type="dxa"/>
            <w:tcBorders/>
            <w:vAlign w:val="center"/>
          </w:tcPr>
          <w:p>
            <w:pPr>
              <w:pStyle w:val="TableContents"/>
              <w:bidi w:val="0"/>
              <w:spacing w:before="0" w:after="283"/>
              <w:jc w:val="left"/>
              <w:rPr/>
            </w:pPr>
            <w:r>
              <w:rPr/>
              <w:t>CPU</w:t>
            </w:r>
          </w:p>
        </w:tc>
      </w:tr>
      <w:tr>
        <w:trPr/>
        <w:tc>
          <w:tcPr>
            <w:tcW w:w="2716" w:type="dxa"/>
            <w:tcBorders/>
            <w:vAlign w:val="center"/>
          </w:tcPr>
          <w:p>
            <w:pPr>
              <w:pStyle w:val="TableContents"/>
              <w:bidi w:val="0"/>
              <w:spacing w:before="0" w:after="283"/>
              <w:jc w:val="left"/>
              <w:rPr/>
            </w:pPr>
            <w:r>
              <w:rPr>
                <w:rStyle w:val="StrongEmphasis"/>
              </w:rPr>
              <w:t>Total compute</w:t>
            </w:r>
          </w:p>
        </w:tc>
        <w:tc>
          <w:tcPr>
            <w:tcW w:w="812" w:type="dxa"/>
            <w:tcBorders/>
            <w:vAlign w:val="center"/>
          </w:tcPr>
          <w:p>
            <w:pPr>
              <w:pStyle w:val="TableContents"/>
              <w:bidi w:val="0"/>
              <w:spacing w:before="0" w:after="283"/>
              <w:jc w:val="left"/>
              <w:rPr/>
            </w:pPr>
            <w:r>
              <w:rPr>
                <w:rStyle w:val="StrongEmphasis"/>
              </w:rPr>
              <w:t>≈</w:t>
            </w:r>
            <w:r>
              <w:rPr>
                <w:rStyle w:val="StrongEmphasis"/>
              </w:rPr>
              <w:t>1.3 s</w:t>
            </w:r>
          </w:p>
        </w:tc>
        <w:tc>
          <w:tcPr>
            <w:tcW w:w="1997" w:type="dxa"/>
            <w:tcBorders/>
            <w:vAlign w:val="center"/>
          </w:tcPr>
          <w:p>
            <w:pPr>
              <w:pStyle w:val="TableContents"/>
              <w:bidi w:val="0"/>
              <w:spacing w:before="0" w:after="283"/>
              <w:jc w:val="left"/>
              <w:rPr/>
            </w:pPr>
            <w:r>
              <w:rPr/>
              <w:t>all local</w:t>
            </w:r>
          </w:p>
        </w:tc>
      </w:tr>
    </w:tbl>
    <w:p>
      <w:pPr>
        <w:pStyle w:val="TextBody"/>
        <w:bidi w:val="0"/>
        <w:spacing w:before="0" w:after="283"/>
        <w:jc w:val="left"/>
        <w:rPr/>
      </w:pPr>
      <w:r>
        <w:rPr>
          <w:rStyle w:val="StrongEmphasis"/>
        </w:rPr>
        <w:t>Against that, object storage was costing ~7 seconds</w:t>
      </w:r>
      <w:r>
        <w:rPr/>
        <w:t xml:space="preserve"> — eight serialized round trips at 0.81–1.13 s each, because the Supabase project sits in </w:t>
      </w:r>
      <w:r>
        <w:rPr>
          <w:rStyle w:val="SourceText"/>
        </w:rPr>
        <w:t>ap-southeast-2</w:t>
      </w:r>
      <w:r>
        <w:rPr/>
        <w:t xml:space="preserve"> (Sydney).</w:t>
      </w:r>
    </w:p>
    <w:p>
      <w:pPr>
        <w:pStyle w:val="Quotations"/>
        <w:pBdr>
          <w:left w:val="single" w:sz="18" w:space="10" w:color="CC0000"/>
        </w:pBdr>
        <w:bidi w:val="0"/>
        <w:spacing w:before="0" w:after="283"/>
        <w:ind w:left="567" w:right="567" w:hanging="0"/>
        <w:jc w:val="left"/>
        <w:rPr/>
      </w:pPr>
      <w:r>
        <w:rPr>
          <w:rStyle w:val="StrongEmphasis"/>
        </w:rPr>
        <w:t>≈</w:t>
      </w:r>
      <w:r>
        <w:rPr>
          <w:rStyle w:val="StrongEmphasis"/>
        </w:rPr>
        <w:t>7 s of network against 1.3 s of work. Compute was 15% of the wall clock. The image crossed the Indian Ocean four times to be processed by a GPU in the same room.</w:t>
      </w:r>
    </w:p>
    <w:p>
      <w:pPr>
        <w:pStyle w:val="TextBody"/>
        <w:bidi w:val="0"/>
        <w:spacing w:before="0" w:after="283"/>
        <w:jc w:val="left"/>
        <w:rPr/>
      </w:pPr>
      <w:r>
        <w:rPr/>
        <w:t xml:space="preserve">Three multipliers, and </w:t>
      </w:r>
      <w:r>
        <w:rPr>
          <w:rStyle w:val="StrongEmphasis"/>
        </w:rPr>
        <w:t>none of them is the model</w:t>
      </w:r>
      <w:r>
        <w:rPr/>
        <w:t>: geography (Sydney is ~0.9 s RTT from India), serialization (seven independent puts running one after another), and round-tripping (</w:t>
      </w:r>
      <w:r>
        <w:rPr>
          <w:rStyle w:val="SourceText"/>
        </w:rPr>
        <w:t>web/api</w:t>
      </w:r>
      <w:r>
        <w:rPr/>
        <w:t xml:space="preserve"> uploads bytes to Sydney so </w:t>
      </w:r>
      <w:r>
        <w:rPr>
          <w:rStyle w:val="SourceText"/>
        </w:rPr>
        <w:t>ai/</w:t>
      </w:r>
      <w:r>
        <w:rPr/>
        <w:t xml:space="preserve"> can download the same bytes straight back).</w:t>
      </w:r>
    </w:p>
    <w:p>
      <w:pPr>
        <w:pStyle w:val="TextBody"/>
        <w:bidi w:val="0"/>
        <w:spacing w:before="0" w:after="283"/>
        <w:jc w:val="left"/>
        <w:rPr/>
      </w:pPr>
      <w:r>
        <w:rPr>
          <w:rStyle w:val="StrongEmphasis"/>
        </w:rPr>
        <w:t>Fixes, in order of size</w:t>
      </w:r>
      <w:r>
        <w:rPr/>
        <w:t xml:space="preserve"> (</w:t>
      </w:r>
      <w:r>
        <w:rPr>
          <w:rStyle w:val="SourceText"/>
        </w:rPr>
        <w:t>docs/app/Future-Implementations.md</w:t>
      </w:r>
      <w:r>
        <w:rPr/>
        <w:t xml:space="preserve"> §4):</w:t>
      </w:r>
    </w:p>
    <w:tbl>
      <w:tblPr>
        <w:tblW w:w="5525" w:type="dxa"/>
        <w:jc w:val="left"/>
        <w:tblInd w:w="0" w:type="dxa"/>
        <w:tblLayout w:type="fixed"/>
        <w:tblCellMar>
          <w:top w:w="28" w:type="dxa"/>
          <w:left w:w="28" w:type="dxa"/>
          <w:bottom w:w="28" w:type="dxa"/>
          <w:right w:w="28" w:type="dxa"/>
        </w:tblCellMar>
      </w:tblPr>
      <w:tblGrid>
        <w:gridCol w:w="2518"/>
        <w:gridCol w:w="3007"/>
      </w:tblGrid>
      <w:tr>
        <w:trPr>
          <w:tblHeader w:val="true"/>
        </w:trPr>
        <w:tc>
          <w:tcPr>
            <w:tcW w:w="2518" w:type="dxa"/>
            <w:tcBorders/>
            <w:vAlign w:val="center"/>
          </w:tcPr>
          <w:p>
            <w:pPr>
              <w:pStyle w:val="TableHeading"/>
              <w:suppressLineNumbers/>
              <w:shd w:fill="DCE6F1" w:val="clear"/>
              <w:bidi w:val="0"/>
              <w:spacing w:before="0" w:after="283"/>
              <w:jc w:val="left"/>
              <w:rPr/>
            </w:pPr>
            <w:r>
              <w:rPr/>
              <w:t>Change</w:t>
            </w:r>
          </w:p>
        </w:tc>
        <w:tc>
          <w:tcPr>
            <w:tcW w:w="3007" w:type="dxa"/>
            <w:tcBorders/>
            <w:vAlign w:val="center"/>
          </w:tcPr>
          <w:p>
            <w:pPr>
              <w:pStyle w:val="TableHeading"/>
              <w:suppressLineNumbers/>
              <w:shd w:fill="DCE6F1" w:val="clear"/>
              <w:bidi w:val="0"/>
              <w:spacing w:before="0" w:after="283"/>
              <w:jc w:val="left"/>
              <w:rPr/>
            </w:pPr>
            <w:r>
              <w:rPr/>
              <w:t>Effect</w:t>
            </w:r>
          </w:p>
        </w:tc>
      </w:tr>
      <w:tr>
        <w:trPr/>
        <w:tc>
          <w:tcPr>
            <w:tcW w:w="2518" w:type="dxa"/>
            <w:tcBorders/>
            <w:vAlign w:val="center"/>
          </w:tcPr>
          <w:p>
            <w:pPr>
              <w:pStyle w:val="TableContents"/>
              <w:bidi w:val="0"/>
              <w:spacing w:before="0" w:after="283"/>
              <w:jc w:val="left"/>
              <w:rPr/>
            </w:pPr>
            <w:r>
              <w:rPr/>
              <w:t xml:space="preserve">Move the project to </w:t>
            </w:r>
            <w:r>
              <w:rPr>
                <w:rStyle w:val="SourceText"/>
              </w:rPr>
              <w:t>ap-south-1</w:t>
            </w:r>
            <w:r>
              <w:rPr/>
              <w:t xml:space="preserve"> (Mumbai)</w:t>
            </w:r>
          </w:p>
        </w:tc>
        <w:tc>
          <w:tcPr>
            <w:tcW w:w="3007" w:type="dxa"/>
            <w:tcBorders/>
            <w:vAlign w:val="center"/>
          </w:tcPr>
          <w:p>
            <w:pPr>
              <w:pStyle w:val="TableContents"/>
              <w:bidi w:val="0"/>
              <w:spacing w:before="0" w:after="283"/>
              <w:jc w:val="left"/>
              <w:rPr/>
            </w:pPr>
            <w:r>
              <w:rPr/>
              <w:t xml:space="preserve">0.9 s → ~50 ms per round trip. </w:t>
            </w:r>
            <w:r>
              <w:rPr>
                <w:rStyle w:val="StrongEmphasis"/>
              </w:rPr>
              <w:t>A project setting, not code</w:t>
            </w:r>
          </w:p>
        </w:tc>
      </w:tr>
      <w:tr>
        <w:trPr/>
        <w:tc>
          <w:tcPr>
            <w:tcW w:w="2518" w:type="dxa"/>
            <w:tcBorders/>
            <w:vAlign w:val="center"/>
          </w:tcPr>
          <w:p>
            <w:pPr>
              <w:pStyle w:val="TableContents"/>
              <w:bidi w:val="0"/>
              <w:spacing w:before="0" w:after="283"/>
              <w:jc w:val="left"/>
              <w:rPr/>
            </w:pPr>
            <w:r>
              <w:rPr/>
              <w:t>Parallelize the seven puts (</w:t>
            </w:r>
            <w:r>
              <w:rPr>
                <w:rStyle w:val="SourceText"/>
              </w:rPr>
              <w:t>asyncio.gather</w:t>
            </w:r>
            <w:r>
              <w:rPr/>
              <w:t>)</w:t>
            </w:r>
          </w:p>
        </w:tc>
        <w:tc>
          <w:tcPr>
            <w:tcW w:w="3007" w:type="dxa"/>
            <w:tcBorders/>
            <w:vAlign w:val="center"/>
          </w:tcPr>
          <w:p>
            <w:pPr>
              <w:pStyle w:val="TableContents"/>
              <w:bidi w:val="0"/>
              <w:spacing w:before="0" w:after="283"/>
              <w:jc w:val="left"/>
              <w:rPr/>
            </w:pPr>
            <w:r>
              <w:rPr/>
              <w:t>7 serial → ~1 concurrent, even from Sydney</w:t>
            </w:r>
          </w:p>
        </w:tc>
      </w:tr>
      <w:tr>
        <w:trPr/>
        <w:tc>
          <w:tcPr>
            <w:tcW w:w="2518" w:type="dxa"/>
            <w:tcBorders/>
            <w:vAlign w:val="center"/>
          </w:tcPr>
          <w:p>
            <w:pPr>
              <w:pStyle w:val="TableContents"/>
              <w:bidi w:val="0"/>
              <w:spacing w:before="0" w:after="283"/>
              <w:jc w:val="left"/>
              <w:rPr/>
            </w:pPr>
            <w:r>
              <w:rPr>
                <w:rStyle w:val="SourceText"/>
              </w:rPr>
              <w:t>ai/</w:t>
            </w:r>
            <w:r>
              <w:rPr/>
              <w:t xml:space="preserve"> writes to object storage directly</w:t>
            </w:r>
          </w:p>
        </w:tc>
        <w:tc>
          <w:tcPr>
            <w:tcW w:w="3007" w:type="dxa"/>
            <w:tcBorders/>
            <w:vAlign w:val="center"/>
          </w:tcPr>
          <w:p>
            <w:pPr>
              <w:pStyle w:val="TableContents"/>
              <w:bidi w:val="0"/>
              <w:spacing w:before="0" w:after="283"/>
              <w:jc w:val="left"/>
              <w:rPr/>
            </w:pPr>
            <w:r>
              <w:rPr/>
              <w:t xml:space="preserve">Kills the laptop→cloud→laptop→cloud trip entirely. </w:t>
            </w:r>
            <w:r>
              <w:rPr>
                <w:rStyle w:val="StrongEmphasis"/>
              </w:rPr>
              <w:t>The real fix</w:t>
            </w:r>
          </w:p>
        </w:tc>
      </w:tr>
      <w:tr>
        <w:trPr/>
        <w:tc>
          <w:tcPr>
            <w:tcW w:w="2518" w:type="dxa"/>
            <w:tcBorders/>
            <w:vAlign w:val="center"/>
          </w:tcPr>
          <w:p>
            <w:pPr>
              <w:pStyle w:val="TableContents"/>
              <w:bidi w:val="0"/>
              <w:spacing w:before="0" w:after="283"/>
              <w:jc w:val="left"/>
              <w:rPr/>
            </w:pPr>
            <w:r>
              <w:rPr/>
              <w:t>Redis + RQ for the job table</w:t>
            </w:r>
          </w:p>
        </w:tc>
        <w:tc>
          <w:tcPr>
            <w:tcW w:w="3007" w:type="dxa"/>
            <w:tcBorders/>
            <w:vAlign w:val="center"/>
          </w:tcPr>
          <w:p>
            <w:pPr>
              <w:pStyle w:val="TableContents"/>
              <w:bidi w:val="0"/>
              <w:spacing w:before="0" w:after="283"/>
              <w:jc w:val="left"/>
              <w:rPr/>
            </w:pPr>
            <w:r>
              <w:rPr/>
              <w:t>Survives restart and more than one replica</w:t>
            </w:r>
          </w:p>
        </w:tc>
      </w:tr>
      <w:tr>
        <w:trPr/>
        <w:tc>
          <w:tcPr>
            <w:tcW w:w="2518" w:type="dxa"/>
            <w:tcBorders/>
            <w:vAlign w:val="center"/>
          </w:tcPr>
          <w:p>
            <w:pPr>
              <w:pStyle w:val="TableContents"/>
              <w:bidi w:val="0"/>
              <w:spacing w:before="0" w:after="283"/>
              <w:jc w:val="left"/>
              <w:rPr/>
            </w:pPr>
            <w:r>
              <w:rPr/>
              <w:t>CDN in front of the public bucket</w:t>
            </w:r>
          </w:p>
        </w:tc>
        <w:tc>
          <w:tcPr>
            <w:tcW w:w="3007" w:type="dxa"/>
            <w:tcBorders/>
            <w:vAlign w:val="center"/>
          </w:tcPr>
          <w:p>
            <w:pPr>
              <w:pStyle w:val="TableContents"/>
              <w:bidi w:val="0"/>
              <w:spacing w:before="0" w:after="283"/>
              <w:jc w:val="left"/>
              <w:rPr/>
            </w:pPr>
            <w:r>
              <w:rPr/>
              <w:t>Marketplace image loads, not processing</w:t>
            </w:r>
          </w:p>
        </w:tc>
      </w:tr>
    </w:tbl>
    <w:p>
      <w:pPr>
        <w:pStyle w:val="TextBody"/>
        <w:bidi w:val="0"/>
        <w:spacing w:before="0" w:after="283"/>
        <w:jc w:val="left"/>
        <w:rPr/>
      </w:pPr>
      <w:r>
        <w:rPr>
          <w:rStyle w:val="StrongEmphasis"/>
        </w:rPr>
        <w:t>Two things the profile tells us not to do</w:t>
      </w:r>
      <w:r>
        <w:rPr/>
        <w:t xml:space="preserve">, and we wrote them down so a future optimiser does not waste a week: the </w:t>
      </w:r>
      <w:r>
        <w:rPr>
          <w:rStyle w:val="StrongEmphasis"/>
        </w:rPr>
        <w:t>402 ms GPU segment is the floor, not a target</w:t>
      </w:r>
      <w:r>
        <w:rPr/>
        <w:t xml:space="preserve"> — BiRefNet always infers at 1024² whatever you hand it, so shrinking the input gains nothing and feeding it the full upload is slower </w:t>
      </w:r>
      <w:r>
        <w:rPr>
          <w:rStyle w:val="Emphasis"/>
        </w:rPr>
        <w:t>and</w:t>
      </w:r>
      <w:r>
        <w:rPr/>
        <w:t xml:space="preserve"> visibly worse. And </w:t>
      </w:r>
      <w:r>
        <w:rPr>
          <w:rStyle w:val="StrongEmphasis"/>
        </w:rPr>
        <w:t>the 375 ms gate is not fat</w:t>
      </w:r>
      <w:r>
        <w:rPr/>
        <w:t xml:space="preserve"> — blur detection needs real pixels; downscaling first destroys the signal it measures.</w:t>
      </w:r>
    </w:p>
    <w:p>
      <w:pPr>
        <w:pStyle w:val="TextBody"/>
        <w:bidi w:val="0"/>
        <w:spacing w:before="0" w:after="283"/>
        <w:jc w:val="left"/>
        <w:rPr/>
      </w:pPr>
      <w:r>
        <w:rPr>
          <w:rStyle w:val="StrongEmphasis"/>
        </w:rPr>
        <w:t>The one thing still slow and not on that list:</w:t>
      </w:r>
      <w:r>
        <w:rPr/>
        <w:t xml:space="preserve"> </w:t>
      </w:r>
      <w:r>
        <w:rPr>
          <w:rStyle w:val="SourceText"/>
        </w:rPr>
        <w:t>ai/service.py</w:t>
      </w:r>
      <w:r>
        <w:rPr/>
        <w:t xml:space="preserve"> has </w:t>
      </w:r>
      <w:r>
        <w:rPr>
          <w:rStyle w:val="StrongEmphasis"/>
        </w:rPr>
        <w:t>no startup warm</w:t>
      </w:r>
      <w:r>
        <w:rPr/>
        <w:t xml:space="preserve">. </w:t>
      </w:r>
      <w:r>
        <w:rPr>
          <w:rStyle w:val="SourceText"/>
        </w:rPr>
        <w:t>segmenter.warm()</w:t>
      </w:r>
      <w:r>
        <w:rPr/>
        <w:t xml:space="preserve"> exists and nothing calls it, so the model loads lazily on the first </w:t>
      </w:r>
      <w:r>
        <w:rPr>
          <w:rStyle w:val="SourceText"/>
        </w:rPr>
        <w:t>/enhance</w:t>
      </w:r>
      <w:r>
        <w:rPr/>
        <w:t xml:space="preserve"> — </w:t>
      </w:r>
      <w:r>
        <w:rPr>
          <w:rStyle w:val="StrongEmphasis"/>
        </w:rPr>
        <w:t>3486 ms cold load, then 899 ms for the first inference</w:t>
      </w:r>
      <w:r>
        <w:rPr/>
        <w:t xml:space="preserve"> against 402 ms warm. Every service restart re-arms this and </w:t>
      </w:r>
      <w:r>
        <w:rPr>
          <w:rStyle w:val="StrongEmphasis"/>
        </w:rPr>
        <w:t>it lands on the first photograph of a demo.</w:t>
      </w:r>
      <w:r>
        <w:rPr/>
        <w:t xml:space="preserve"> A lifespan hook plus one dummy inference removes ~4 s and changes nothing else. It is a ten-line fix that is not done.</w:t>
      </w:r>
    </w:p>
    <w:p>
      <w:pPr>
        <w:pStyle w:val="HorizontalLine"/>
        <w:pBdr>
          <w:bottom w:val="double" w:sz="2" w:space="0" w:color="808080"/>
        </w:pBdr>
        <w:bidi w:val="0"/>
        <w:spacing w:before="0" w:after="283"/>
        <w:jc w:val="left"/>
        <w:rPr/>
      </w:pPr>
      <w:r>
        <w:rPr/>
      </w:r>
    </w:p>
    <w:p>
      <w:pPr>
        <w:pStyle w:val="Heading2"/>
        <w:bidi w:val="0"/>
        <w:jc w:val="left"/>
        <w:rPr/>
      </w:pPr>
      <w:r>
        <w:rPr/>
        <w:t>Q2.6 — "One GPU, one worker thread. What happens when a thousand artisans upload at once?"</w:t>
      </w:r>
    </w:p>
    <w:p>
      <w:pPr>
        <w:pStyle w:val="TextBody"/>
        <w:bidi w:val="0"/>
        <w:spacing w:before="0" w:after="283"/>
        <w:jc w:val="left"/>
        <w:rPr/>
      </w:pPr>
      <w:r>
        <w:rPr>
          <w:rStyle w:val="StrongEmphasis"/>
        </w:rPr>
        <w:t>Think.</w:t>
      </w:r>
      <w:r>
        <w:rPr/>
        <w:t xml:space="preserve"> This is the scalability question in the PS, aimed at the narrowest part of our system. Give the arithmetic, not reassurance.</w:t>
      </w:r>
    </w:p>
    <w:p>
      <w:pPr>
        <w:pStyle w:val="TextBody"/>
        <w:bidi w:val="0"/>
        <w:spacing w:before="0" w:after="283"/>
        <w:jc w:val="left"/>
        <w:rPr/>
      </w:pPr>
      <w:r>
        <w:rPr>
          <w:rStyle w:val="StrongEmphasis"/>
        </w:rPr>
        <w:t>Today, and it is a deliberate choice rather than an oversight.</w:t>
      </w:r>
      <w:r>
        <w:rPr/>
        <w:t xml:space="preserve"> </w:t>
      </w:r>
      <w:r>
        <w:rPr>
          <w:rStyle w:val="SourceText"/>
        </w:rPr>
        <w:t>ai/enhance/jobs.py</w:t>
      </w:r>
      <w:r>
        <w:rPr/>
        <w:t>, in its own docstring:</w:t>
      </w:r>
    </w:p>
    <w:p>
      <w:pPr>
        <w:pStyle w:val="Quotations"/>
        <w:pBdr>
          <w:left w:val="single" w:sz="18" w:space="10" w:color="CC0000"/>
        </w:pBdr>
        <w:bidi w:val="0"/>
        <w:spacing w:before="0" w:after="283"/>
        <w:ind w:left="567" w:right="567" w:hanging="0"/>
        <w:jc w:val="left"/>
        <w:rPr/>
      </w:pPr>
      <w:r>
        <w:rPr>
          <w:rStyle w:val="Emphasis"/>
        </w:rPr>
        <w:t>"One worker thread, deliberately. There is one GPU and BiRefNet holds ~1.6 GB of it while running. Two concurrent jobs on a 4 GB card is an out-of-memory crash, not double the throughput, so jobs queue and run one at a time."</w:t>
      </w:r>
    </w:p>
    <w:p>
      <w:pPr>
        <w:pStyle w:val="TextBody"/>
        <w:bidi w:val="0"/>
        <w:spacing w:before="0" w:after="283"/>
        <w:jc w:val="left"/>
        <w:rPr/>
      </w:pPr>
      <w:r>
        <w:rPr>
          <w:rStyle w:val="StrongEmphasis"/>
        </w:rPr>
        <w:t>The arithmetic.</w:t>
      </w:r>
      <w:r>
        <w:rPr/>
        <w:t xml:space="preserve"> 1.3 s per photograph ⇒ </w:t>
      </w:r>
      <w:r>
        <w:rPr>
          <w:rStyle w:val="StrongEmphasis"/>
        </w:rPr>
        <w:t>~46 photographs/minute, ~2,700/hour</w:t>
      </w:r>
      <w:r>
        <w:rPr/>
        <w:t xml:space="preserve"> per GPU at full occupancy. A thousand simultaneous uploads means the last artisan in the queue waits </w:t>
      </w:r>
      <w:r>
        <w:rPr>
          <w:rStyle w:val="StrongEmphasis"/>
        </w:rPr>
        <w:t>~21 minutes</w:t>
      </w:r>
      <w:r>
        <w:rPr/>
        <w:t>. They will not wait. Nothing in the app tells them their position.</w:t>
      </w:r>
    </w:p>
    <w:p>
      <w:pPr>
        <w:pStyle w:val="TextBody"/>
        <w:bidi w:val="0"/>
        <w:spacing w:before="0" w:after="283"/>
        <w:jc w:val="left"/>
        <w:rPr/>
      </w:pPr>
      <w:r>
        <w:rPr>
          <w:rStyle w:val="StrongEmphasis"/>
        </w:rPr>
        <w:t>Two further limits, both real, both written down in the code:</w:t>
      </w:r>
    </w:p>
    <w:p>
      <w:pPr>
        <w:pStyle w:val="TextBody"/>
        <w:numPr>
          <w:ilvl w:val="0"/>
          <w:numId w:val="2"/>
        </w:numPr>
        <w:tabs>
          <w:tab w:val="clear" w:pos="1134"/>
          <w:tab w:val="left" w:pos="709" w:leader="none"/>
        </w:tabs>
        <w:bidi w:val="0"/>
        <w:spacing w:before="0" w:after="0"/>
        <w:ind w:left="709" w:hanging="283"/>
        <w:jc w:val="left"/>
        <w:rPr/>
      </w:pPr>
      <w:r>
        <w:rPr>
          <w:rStyle w:val="StrongEmphasis"/>
        </w:rPr>
        <w:t>The job table is process-local.</w:t>
      </w:r>
      <w:r>
        <w:rPr/>
        <w:t xml:space="preserve"> An </w:t>
      </w:r>
      <w:r>
        <w:rPr>
          <w:rStyle w:val="SourceText"/>
        </w:rPr>
        <w:t>OrderedDict</w:t>
      </w:r>
      <w:r>
        <w:rPr/>
        <w:t xml:space="preserve"> in one process, bounded at 512 remembered jobs. </w:t>
      </w:r>
      <w:r>
        <w:rPr>
          <w:rStyle w:val="StrongEmphasis"/>
        </w:rPr>
        <w:t>Restart the service and in-flight jobs are lost and their ids stop resolving.</w:t>
      </w:r>
      <w:r>
        <w:rPr/>
        <w:t xml:space="preserve"> It does not survive a second replica either — a poll routed to the other process finds nothing. </w:t>
      </w:r>
    </w:p>
    <w:p>
      <w:pPr>
        <w:pStyle w:val="TextBody"/>
        <w:numPr>
          <w:ilvl w:val="0"/>
          <w:numId w:val="2"/>
        </w:numPr>
        <w:tabs>
          <w:tab w:val="clear" w:pos="1134"/>
          <w:tab w:val="left" w:pos="709" w:leader="none"/>
        </w:tabs>
        <w:bidi w:val="0"/>
        <w:ind w:left="709" w:hanging="283"/>
        <w:jc w:val="left"/>
        <w:rPr/>
      </w:pPr>
      <w:r>
        <w:rPr>
          <w:rStyle w:val="SourceText"/>
        </w:rPr>
        <w:t>GET /api/enhanced/{path}</w:t>
      </w:r>
      <w:r>
        <w:rPr>
          <w:rStyle w:val="StrongEmphasis"/>
        </w:rPr>
        <w:t xml:space="preserve"> is demo scaffolding and must be deleted before production.</w:t>
      </w:r>
      <w:r>
        <w:rPr/>
        <w:t xml:space="preserve"> It serves the AI box's local disk, and the URLs it builds embed whichever host the caller used — on a phone hotspot that is a DHCP lease that moves within the hour. </w:t>
      </w:r>
      <w:r>
        <w:rPr>
          <w:rStyle w:val="SourceText"/>
        </w:rPr>
        <w:t>_record_variants</w:t>
      </w:r>
      <w:r>
        <w:rPr/>
        <w:t xml:space="preserve"> writes those URLs to the database, </w:t>
      </w:r>
      <w:r>
        <w:rPr>
          <w:rStyle w:val="StrongEmphasis"/>
        </w:rPr>
        <w:t>so rows published this way go stale when the laptop's address changes.</w:t>
      </w:r>
      <w:r>
        <w:rPr/>
        <w:t xml:space="preserve"> </w:t>
      </w:r>
    </w:p>
    <w:p>
      <w:pPr>
        <w:pStyle w:val="TextBody"/>
        <w:bidi w:val="0"/>
        <w:jc w:val="left"/>
        <w:rPr/>
      </w:pPr>
      <w:r>
        <w:rPr>
          <w:rStyle w:val="StrongEmphasis"/>
        </w:rPr>
        <w:t>At scale — and the swap surface is deliberately two functions.</w:t>
      </w:r>
      <w:r>
        <w:rPr/>
        <w:t xml:space="preserve"> </w:t>
      </w:r>
      <w:r>
        <w:rPr>
          <w:rStyle w:val="SourceText"/>
        </w:rPr>
        <w:t>submit()</w:t>
      </w:r>
      <w:r>
        <w:rPr/>
        <w:t xml:space="preserve"> and </w:t>
      </w:r>
      <w:r>
        <w:rPr>
          <w:rStyle w:val="SourceText"/>
        </w:rPr>
        <w:t>get()</w:t>
      </w:r>
      <w:r>
        <w:rPr/>
        <w:t xml:space="preserve"> are the whole interface a queue has to replace (</w:t>
      </w:r>
      <w:r>
        <w:rPr>
          <w:rStyle w:val="SourceText"/>
        </w:rPr>
        <w:t>docs/decisions.md</w:t>
      </w:r>
      <w:r>
        <w:rPr/>
        <w:t xml:space="preserve"> #2 settled Redis + RQ). Then:</w:t>
      </w:r>
    </w:p>
    <w:p>
      <w:pPr>
        <w:pStyle w:val="TextBody"/>
        <w:numPr>
          <w:ilvl w:val="0"/>
          <w:numId w:val="3"/>
        </w:numPr>
        <w:tabs>
          <w:tab w:val="clear" w:pos="1134"/>
          <w:tab w:val="left" w:pos="709" w:leader="none"/>
        </w:tabs>
        <w:bidi w:val="0"/>
        <w:spacing w:before="0" w:after="0"/>
        <w:ind w:left="709" w:hanging="283"/>
        <w:jc w:val="left"/>
        <w:rPr/>
      </w:pPr>
      <w:r>
        <w:rPr/>
        <w:t xml:space="preserve">N worker processes, one per GPU, each holding one BiRefNet instance </w:t>
      </w:r>
    </w:p>
    <w:p>
      <w:pPr>
        <w:pStyle w:val="TextBody"/>
        <w:numPr>
          <w:ilvl w:val="0"/>
          <w:numId w:val="3"/>
        </w:numPr>
        <w:tabs>
          <w:tab w:val="clear" w:pos="1134"/>
          <w:tab w:val="left" w:pos="709" w:leader="none"/>
        </w:tabs>
        <w:bidi w:val="0"/>
        <w:spacing w:before="0" w:after="0"/>
        <w:ind w:left="709" w:hanging="283"/>
        <w:jc w:val="left"/>
        <w:rPr/>
      </w:pPr>
      <w:r>
        <w:rPr/>
        <w:t xml:space="preserve">Autoscale on </w:t>
      </w:r>
      <w:r>
        <w:rPr>
          <w:rStyle w:val="StrongEmphasis"/>
        </w:rPr>
        <w:t>queue depth</w:t>
      </w:r>
      <w:r>
        <w:rPr/>
        <w:t xml:space="preserve">, not CPU — the queue is the honest signal </w:t>
      </w:r>
    </w:p>
    <w:p>
      <w:pPr>
        <w:pStyle w:val="TextBody"/>
        <w:numPr>
          <w:ilvl w:val="0"/>
          <w:numId w:val="3"/>
        </w:numPr>
        <w:tabs>
          <w:tab w:val="clear" w:pos="1134"/>
          <w:tab w:val="left" w:pos="709" w:leader="none"/>
        </w:tabs>
        <w:bidi w:val="0"/>
        <w:spacing w:before="0" w:after="0"/>
        <w:ind w:left="709" w:hanging="283"/>
        <w:jc w:val="left"/>
        <w:rPr/>
      </w:pPr>
      <w:r>
        <w:rPr>
          <w:rStyle w:val="StrongEmphasis"/>
        </w:rPr>
        <w:t>Backpressure that speaks</w:t>
      </w:r>
      <w:r>
        <w:rPr/>
        <w:t xml:space="preserve">: at depth &gt; N, the app says </w:t>
      </w:r>
      <w:r>
        <w:rPr>
          <w:rStyle w:val="Emphasis"/>
        </w:rPr>
        <w:t>"thodi der lagegi"</w:t>
      </w:r>
      <w:r>
        <w:rPr/>
        <w:t xml:space="preserve"> with a position, instead of a spinner. Rule 3 again </w:t>
      </w:r>
    </w:p>
    <w:p>
      <w:pPr>
        <w:pStyle w:val="TextBody"/>
        <w:numPr>
          <w:ilvl w:val="0"/>
          <w:numId w:val="3"/>
        </w:numPr>
        <w:tabs>
          <w:tab w:val="clear" w:pos="1134"/>
          <w:tab w:val="left" w:pos="709" w:leader="none"/>
        </w:tabs>
        <w:bidi w:val="0"/>
        <w:spacing w:before="0" w:after="0"/>
        <w:ind w:left="709" w:hanging="283"/>
        <w:jc w:val="left"/>
        <w:rPr/>
      </w:pPr>
      <w:r>
        <w:rPr>
          <w:rStyle w:val="StrongEmphasis"/>
        </w:rPr>
        <w:t>BiRefNet-lite is a live capacity lever</w:t>
      </w:r>
      <w:r>
        <w:rPr/>
        <w:t xml:space="preserve">: 273 ms and 851 MiB against 645 ms and 1615 MiB. It is </w:t>
      </w:r>
      <w:r>
        <w:rPr>
          <w:rStyle w:val="StrongEmphasis"/>
        </w:rPr>
        <w:t>~2.4× the throughput and half the VRAM</w:t>
      </w:r>
      <w:r>
        <w:rPr/>
        <w:t xml:space="preserve"> — two lite workers fit where one full one did. Already benchmarked, already "held in reserve" </w:t>
      </w:r>
    </w:p>
    <w:p>
      <w:pPr>
        <w:pStyle w:val="TextBody"/>
        <w:numPr>
          <w:ilvl w:val="0"/>
          <w:numId w:val="3"/>
        </w:numPr>
        <w:tabs>
          <w:tab w:val="clear" w:pos="1134"/>
          <w:tab w:val="left" w:pos="709" w:leader="none"/>
        </w:tabs>
        <w:bidi w:val="0"/>
        <w:ind w:left="709" w:hanging="283"/>
        <w:jc w:val="left"/>
        <w:rPr/>
      </w:pPr>
      <w:r>
        <w:rPr>
          <w:rStyle w:val="StrongEmphasis"/>
        </w:rPr>
        <w:t>The enhance queue tolerates preemption</w:t>
      </w:r>
      <w:r>
        <w:rPr/>
        <w:t xml:space="preserve"> — it is asynchronous by contract, so spot/preemptible GPU instances are usable, which is 60–70% off the compute line </w:t>
      </w:r>
    </w:p>
    <w:p>
      <w:pPr>
        <w:pStyle w:val="TextBody"/>
        <w:bidi w:val="0"/>
        <w:jc w:val="left"/>
        <w:rPr/>
      </w:pPr>
      <w:r>
        <w:rPr>
          <w:rStyle w:val="StrongEmphasis"/>
        </w:rPr>
        <w:t>Capacity in one sentence, for the costing conversation:</w:t>
      </w:r>
      <w:r>
        <w:rPr/>
        <w:t xml:space="preserve"> one GPU at 50% utilisation handles ~1.3 million photographs a month. At ten photographs per artisan per month that is </w:t>
      </w:r>
      <w:r>
        <w:rPr>
          <w:rStyle w:val="StrongEmphasis"/>
        </w:rPr>
        <w:t>~130,000 artisans per GPU.</w:t>
      </w:r>
      <w:r>
        <w:rPr/>
        <w:t xml:space="preserve"> The GPU is not what limits this system. See the costing document.</w:t>
      </w:r>
    </w:p>
    <w:p>
      <w:pPr>
        <w:pStyle w:val="TextBody"/>
        <w:bidi w:val="0"/>
        <w:spacing w:before="0" w:after="283"/>
        <w:jc w:val="left"/>
        <w:rPr/>
      </w:pPr>
      <w:r>
        <w:rPr>
          <w:rStyle w:val="StrongEmphasis"/>
        </w:rPr>
        <w:t>Breaks when.</w:t>
      </w:r>
      <w:r>
        <w:rPr/>
        <w:t xml:space="preserve"> Today: a service restart during a demo, or two replicas behind a load balancer. Both are fixed by the same two-function swap, and neither is fixed yet.</w:t>
      </w:r>
    </w:p>
    <w:p>
      <w:pPr>
        <w:pStyle w:val="HorizontalLine"/>
        <w:pBdr>
          <w:bottom w:val="double" w:sz="2" w:space="0" w:color="808080"/>
        </w:pBdr>
        <w:bidi w:val="0"/>
        <w:spacing w:before="0" w:after="283"/>
        <w:jc w:val="left"/>
        <w:rPr/>
      </w:pPr>
      <w:r>
        <w:rPr/>
      </w:r>
    </w:p>
    <w:p>
      <w:pPr>
        <w:pStyle w:val="Heading2"/>
        <w:bidi w:val="0"/>
        <w:jc w:val="left"/>
        <w:rPr/>
      </w:pPr>
      <w:r>
        <w:rPr/>
        <w:t>Q2.7 — "You are enhancing photographs of products people will buy. Where is the line between enhancement and lying?"</w:t>
      </w:r>
    </w:p>
    <w:p>
      <w:pPr>
        <w:pStyle w:val="TextBody"/>
        <w:bidi w:val="0"/>
        <w:spacing w:before="0" w:after="283"/>
        <w:jc w:val="left"/>
        <w:rPr/>
      </w:pPr>
      <w:r>
        <w:rPr>
          <w:rStyle w:val="StrongEmphasis"/>
        </w:rPr>
        <w:t>Think.</w:t>
      </w:r>
      <w:r>
        <w:rPr/>
        <w:t xml:space="preserve"> This is an ethics question with a technical answer, and we have an unusually strong one. Lead with the rule, then the mechanism that makes the rule enforceable rather than aspirational.</w:t>
      </w:r>
    </w:p>
    <w:p>
      <w:pPr>
        <w:pStyle w:val="TextBody"/>
        <w:bidi w:val="0"/>
        <w:spacing w:before="0" w:after="283"/>
        <w:jc w:val="left"/>
        <w:rPr/>
      </w:pPr>
      <w:r>
        <w:rPr>
          <w:rStyle w:val="StrongEmphasis"/>
        </w:rPr>
        <w:t>The rule</w:t>
      </w:r>
      <w:r>
        <w:rPr/>
        <w:t xml:space="preserve"> (</w:t>
      </w:r>
      <w:r>
        <w:rPr>
          <w:rStyle w:val="SourceText"/>
        </w:rPr>
        <w:t>CLAUDE.md</w:t>
      </w:r>
      <w:r>
        <w:rPr/>
        <w:t xml:space="preserve">, non-negotiable rule 1, and </w:t>
      </w:r>
      <w:r>
        <w:rPr>
          <w:rStyle w:val="SourceText"/>
        </w:rPr>
        <w:t>docs/Master-Technical-Reference.md</w:t>
      </w:r>
      <w:r>
        <w:rPr/>
        <w:t xml:space="preserve"> §5.6):</w:t>
      </w:r>
    </w:p>
    <w:p>
      <w:pPr>
        <w:pStyle w:val="Quotations"/>
        <w:pBdr>
          <w:left w:val="single" w:sz="18" w:space="10" w:color="CC0000"/>
        </w:pBdr>
        <w:bidi w:val="0"/>
        <w:spacing w:before="0" w:after="283"/>
        <w:ind w:left="567" w:right="567" w:hanging="0"/>
        <w:jc w:val="left"/>
        <w:rPr/>
      </w:pPr>
      <w:r>
        <w:rPr>
          <w:rStyle w:val="StrongEmphasis"/>
        </w:rPr>
        <w:t>Never change colour or shape. Enhance, don't misrepresent.</w:t>
      </w:r>
    </w:p>
    <w:p>
      <w:pPr>
        <w:pStyle w:val="TextBody"/>
        <w:bidi w:val="0"/>
        <w:spacing w:before="0" w:after="283"/>
        <w:jc w:val="left"/>
        <w:rPr/>
      </w:pPr>
      <w:r>
        <w:rPr/>
        <w:t xml:space="preserve">Explicitly rejected, by name, in our own repo: super-resolution, generative backgrounds, diffusion relighting, and saturation boost beyond +10%. Rejected as </w:t>
      </w:r>
      <w:r>
        <w:rPr>
          <w:rStyle w:val="StrongEmphasis"/>
        </w:rPr>
        <w:t>fabrication</w:t>
      </w:r>
      <w:r>
        <w:rPr/>
        <w:t>, not as scope.</w:t>
      </w:r>
    </w:p>
    <w:p>
      <w:pPr>
        <w:pStyle w:val="TextBody"/>
        <w:bidi w:val="0"/>
        <w:spacing w:before="0" w:after="283"/>
        <w:jc w:val="left"/>
        <w:rPr/>
      </w:pPr>
      <w:r>
        <w:rPr>
          <w:rStyle w:val="StrongEmphasis"/>
        </w:rPr>
        <w:t>Two reasons, one practical and one legal.</w:t>
      </w:r>
      <w:r>
        <w:rPr/>
        <w:t xml:space="preserve"> Return rate destroys artisan income. And misrepresentation is a listing violation that gets the product pulled — on the platform we headlined.</w:t>
      </w:r>
    </w:p>
    <w:p>
      <w:pPr>
        <w:pStyle w:val="TextBody"/>
        <w:bidi w:val="0"/>
        <w:spacing w:before="0" w:after="283"/>
        <w:jc w:val="left"/>
        <w:rPr/>
      </w:pPr>
      <w:r>
        <w:rPr>
          <w:rStyle w:val="StrongEmphasis"/>
        </w:rPr>
        <w:t>The mechanism that turns the rule into a guarantee.</w:t>
      </w:r>
      <w:r>
        <w:rPr/>
        <w:t xml:space="preserve"> For the opt-in generative secondary images, we copy the one architectural choice PhotoRoom made (</w:t>
      </w:r>
      <w:r>
        <w:rPr>
          <w:rStyle w:val="SourceText"/>
        </w:rPr>
        <w:t>docs/Application-Architecture.md</w:t>
      </w:r>
      <w:r>
        <w:rPr/>
        <w:t xml:space="preserve"> §7.2):</w:t>
      </w:r>
    </w:p>
    <w:p>
      <w:pPr>
        <w:pStyle w:val="Quotations"/>
        <w:pBdr>
          <w:left w:val="single" w:sz="18" w:space="10" w:color="CC0000"/>
        </w:pBdr>
        <w:bidi w:val="0"/>
        <w:spacing w:before="0" w:after="283"/>
        <w:ind w:left="567" w:right="567" w:hanging="0"/>
        <w:jc w:val="left"/>
        <w:rPr/>
      </w:pPr>
      <w:r>
        <w:rPr>
          <w:rStyle w:val="StrongEmphasis"/>
        </w:rPr>
        <w:t>Outpaint, never inpaint. Then composite the original subject pixels back on top, verbatim.</w:t>
      </w:r>
    </w:p>
    <w:p>
      <w:pPr>
        <w:pStyle w:val="TextBody"/>
        <w:bidi w:val="0"/>
        <w:spacing w:before="0" w:after="283"/>
        <w:jc w:val="left"/>
        <w:rPr/>
      </w:pPr>
      <w:r>
        <w:rPr/>
        <w:t xml:space="preserve">Mask boundaries are rigid; the model cannot regenerate anything inside the mask. </w:t>
      </w:r>
      <w:r>
        <w:rPr>
          <w:rStyle w:val="StrongEmphasis"/>
        </w:rPr>
        <w:t>Even if the generative model hallucinates wildly, the product region is bit-identical to what the artisan photographed.</w:t>
      </w:r>
      <w:r>
        <w:rPr/>
        <w:t xml:space="preserve"> That is a mathematical guarantee rather than a hope, and it is the difference between a claim we can put on a slide unhedged and one we cannot.</w:t>
      </w:r>
    </w:p>
    <w:p>
      <w:pPr>
        <w:pStyle w:val="TextBody"/>
        <w:bidi w:val="0"/>
        <w:spacing w:before="0" w:after="283"/>
        <w:jc w:val="left"/>
        <w:rPr/>
      </w:pPr>
      <w:r>
        <w:rPr>
          <w:rStyle w:val="StrongEmphasis"/>
        </w:rPr>
        <w:t>Three more guards:</w:t>
      </w:r>
    </w:p>
    <w:p>
      <w:pPr>
        <w:pStyle w:val="TextBody"/>
        <w:numPr>
          <w:ilvl w:val="0"/>
          <w:numId w:val="4"/>
        </w:numPr>
        <w:tabs>
          <w:tab w:val="clear" w:pos="1134"/>
          <w:tab w:val="left" w:pos="709" w:leader="none"/>
        </w:tabs>
        <w:bidi w:val="0"/>
        <w:spacing w:before="0" w:after="0"/>
        <w:ind w:left="709" w:hanging="283"/>
        <w:jc w:val="left"/>
        <w:rPr/>
      </w:pPr>
      <w:r>
        <w:rPr>
          <w:rStyle w:val="StrongEmphasis"/>
        </w:rPr>
        <w:t>Generated images are always secondary. Never the main image.</w:t>
      </w:r>
      <w:r>
        <w:rPr/>
        <w:t xml:space="preserve"> A generated model shot as the primary is exactly the "inaccurate representation" that pulls a listing. </w:t>
      </w:r>
    </w:p>
    <w:p>
      <w:pPr>
        <w:pStyle w:val="TextBody"/>
        <w:numPr>
          <w:ilvl w:val="0"/>
          <w:numId w:val="4"/>
        </w:numPr>
        <w:tabs>
          <w:tab w:val="clear" w:pos="1134"/>
          <w:tab w:val="left" w:pos="709" w:leader="none"/>
        </w:tabs>
        <w:bidi w:val="0"/>
        <w:spacing w:before="0" w:after="0"/>
        <w:ind w:left="709" w:hanging="283"/>
        <w:jc w:val="left"/>
        <w:rPr/>
      </w:pPr>
      <w:r>
        <w:rPr>
          <w:rStyle w:val="SourceText"/>
        </w:rPr>
        <w:t>colour_confirmed</w:t>
      </w:r>
      <w:r>
        <w:rPr>
          <w:rStyle w:val="StrongEmphasis"/>
        </w:rPr>
        <w:t xml:space="preserve"> gates publish.</w:t>
      </w:r>
      <w:r>
        <w:rPr/>
        <w:t xml:space="preserve"> Rule 4. Nothing goes out until the person holding the object says the colour is true. </w:t>
      </w:r>
    </w:p>
    <w:p>
      <w:pPr>
        <w:pStyle w:val="TextBody"/>
        <w:numPr>
          <w:ilvl w:val="0"/>
          <w:numId w:val="4"/>
        </w:numPr>
        <w:tabs>
          <w:tab w:val="clear" w:pos="1134"/>
          <w:tab w:val="left" w:pos="709" w:leader="none"/>
        </w:tabs>
        <w:bidi w:val="0"/>
        <w:ind w:left="709" w:hanging="283"/>
        <w:jc w:val="left"/>
        <w:rPr/>
      </w:pPr>
      <w:r>
        <w:rPr>
          <w:rStyle w:val="StrongEmphasis"/>
        </w:rPr>
        <w:t>Never destroy the original.</w:t>
      </w:r>
      <w:r>
        <w:rPr/>
        <w:t xml:space="preserve"> Rule 2: </w:t>
      </w:r>
      <w:r>
        <w:rPr>
          <w:rStyle w:val="Emphasis"/>
        </w:rPr>
        <w:t>store a recipe, render on demand.</w:t>
      </w:r>
      <w:r>
        <w:rPr/>
        <w:t xml:space="preserve"> The original is always recoverable, so no enhancement is irreversible, and any dispute can be settled against the artisan's own file. </w:t>
      </w:r>
    </w:p>
    <w:p>
      <w:pPr>
        <w:pStyle w:val="TextBody"/>
        <w:bidi w:val="0"/>
        <w:jc w:val="left"/>
        <w:rPr/>
      </w:pPr>
      <w:r>
        <w:rPr>
          <w:rStyle w:val="StrongEmphasis"/>
        </w:rPr>
        <w:t>One deliberate product decision that follows from this:</w:t>
      </w:r>
      <w:r>
        <w:rPr/>
        <w:t xml:space="preserve"> an enhancement-intensity slider. Handicraft imperfection is a </w:t>
      </w:r>
      <w:r>
        <w:rPr>
          <w:rStyle w:val="Emphasis"/>
        </w:rPr>
        <w:t>selling point</w:t>
      </w:r>
      <w:r>
        <w:rPr/>
        <w:t xml:space="preserve"> — over-processed photographs look factory-made, which is the opposite of what the buyer is paying for.</w:t>
      </w:r>
    </w:p>
    <w:p>
      <w:pPr>
        <w:pStyle w:val="TextBody"/>
        <w:bidi w:val="0"/>
        <w:spacing w:before="0" w:after="283"/>
        <w:jc w:val="left"/>
        <w:rPr/>
      </w:pPr>
      <w:r>
        <w:rPr>
          <w:rStyle w:val="StrongEmphasis"/>
        </w:rPr>
        <w:t>Breaks when.</w:t>
      </w:r>
      <w:r>
        <w:rPr/>
        <w:t xml:space="preserve"> The contact shadow on secondary images is ~20 lines of OpenCV — blur the mask, skew by the light angle, multiply. It is geometrically plausible, not physically correct. On a phone screen nobody can tell; under scrutiny it is a synthetic shadow, and it is on a secondary image where we have said generation may occur.</w:t>
      </w:r>
    </w:p>
    <w:sectPr>
      <w:type w:val="nextPage"/>
      <w:pgSz w:w="11906" w:h="16838"/>
      <w:pgMar w:left="1020" w:right="1020" w:gutter="0" w:header="0" w:top="1020" w:footer="0" w:bottom="1020"/>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Sans">
    <w:altName w:val="Arial"/>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Liberation Serif;serif" w:hAnsi="Liberation Serif;serif" w:eastAsia="Liberation Serif;serif" w:cs="Liberation Serif;serif"/>
      <w:color w:val="auto"/>
      <w:sz w:val="21"/>
      <w:szCs w:val="21"/>
      <w:lang w:val="en-US" w:eastAsia="zh-CN" w:bidi="hi-IN"/>
    </w:rPr>
  </w:style>
  <w:style w:type="paragraph" w:styleId="Heading1">
    <w:name w:val="Heading 1"/>
    <w:basedOn w:val="Heading"/>
    <w:next w:val="TextBody"/>
    <w:qFormat/>
    <w:pPr>
      <w:pBdr>
        <w:bottom w:val="single" w:sz="12" w:space="4" w:color="16365C"/>
      </w:pBdr>
    </w:pPr>
    <w:rPr>
      <w:rFonts w:ascii="Liberation Sans;sans-serif" w:hAnsi="Liberation Sans;sans-serif" w:eastAsia="Liberation Sans;sans-serif" w:cs="Liberation Sans;sans-serif"/>
      <w:b/>
      <w:bCs/>
      <w:color w:val="16365C"/>
      <w:sz w:val="38"/>
      <w:szCs w:val="38"/>
    </w:rPr>
  </w:style>
  <w:style w:type="paragraph" w:styleId="Heading2">
    <w:name w:val="Heading 2"/>
    <w:basedOn w:val="Heading"/>
    <w:next w:val="TextBody"/>
    <w:qFormat/>
    <w:pPr>
      <w:spacing w:before="320" w:after="120"/>
      <w:outlineLvl w:val="1"/>
    </w:pPr>
    <w:rPr>
      <w:rFonts w:ascii="Liberation Sans;sans-serif" w:hAnsi="Liberation Sans;sans-serif" w:eastAsia="Liberation Sans;sans-serif" w:cs="Liberation Sans;sans-serif"/>
      <w:b/>
      <w:bCs/>
      <w:color w:val="16365C"/>
      <w:sz w:val="28"/>
      <w:szCs w:val="28"/>
    </w:rPr>
  </w:style>
  <w:style w:type="paragraph" w:styleId="Heading3">
    <w:name w:val="Heading 3"/>
    <w:basedOn w:val="Heading"/>
    <w:next w:val="TextBody"/>
    <w:qFormat/>
    <w:pPr>
      <w:spacing w:before="140" w:after="120"/>
      <w:outlineLvl w:val="2"/>
    </w:pPr>
    <w:rPr>
      <w:rFonts w:ascii="Liberation Sans;sans-serif" w:hAnsi="Liberation Sans;sans-serif" w:eastAsia="Liberation Sans;sans-serif" w:cs="Liberation Sans;sans-serif"/>
      <w:b/>
      <w:bCs/>
      <w:color w:val="333333"/>
      <w:sz w:val="23"/>
      <w:szCs w:val="23"/>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8"/>
      <w:szCs w:val="18"/>
      <w:shd w:fill="F2F2F2" w:val="clear"/>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PreformattedText">
    <w:name w:val="Preformatted Text"/>
    <w:basedOn w:val="Normal"/>
    <w:qFormat/>
    <w:pPr>
      <w:pBdr>
        <w:left w:val="single" w:sz="18" w:space="6" w:color="16365C"/>
      </w:pBdr>
      <w:shd w:fill="F6F6F6" w:val="clear"/>
      <w:spacing w:before="0" w:after="0"/>
    </w:pPr>
    <w:rPr>
      <w:rFonts w:ascii="Liberation Mono;monospace" w:hAnsi="Liberation Mono;monospace" w:eastAsia="Liberation Mono;monospace" w:cs="Liberation Mono;monospace"/>
      <w:sz w:val="17"/>
      <w:szCs w:val="17"/>
    </w:rPr>
  </w:style>
  <w:style w:type="paragraph" w:styleId="Quotations">
    <w:name w:val="Quotations"/>
    <w:basedOn w:val="Normal"/>
    <w:qFormat/>
    <w:pPr>
      <w:pBdr>
        <w:left w:val="single" w:sz="18" w:space="10" w:color="CC0000"/>
      </w:pBdr>
      <w:spacing w:before="0" w:after="283"/>
      <w:ind w:left="567" w:right="567" w:hanging="0"/>
    </w:pPr>
    <w:rPr>
      <w:i/>
      <w:iCs/>
      <w:color w:val="444444"/>
    </w:rPr>
  </w:style>
  <w:style w:type="paragraph" w:styleId="TableHeading">
    <w:name w:val="Table Heading"/>
    <w:basedOn w:val="TableContents"/>
    <w:qFormat/>
    <w:pPr>
      <w:suppressLineNumbers/>
      <w:shd w:fill="DCE6F1"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02-feature1-image</dc:title>
</cp:coreProperties>
</file>

<file path=docProps/custom.xml><?xml version="1.0" encoding="utf-8"?>
<Properties xmlns="http://schemas.openxmlformats.org/officeDocument/2006/custom-properties" xmlns:vt="http://schemas.openxmlformats.org/officeDocument/2006/docPropsVTypes"/>
</file>