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Part 6 — "A robust, scalable backend architecture" — and the privacy the government will ask about</w:t>
      </w:r>
    </w:p>
    <w:p>
      <w:pPr>
        <w:pStyle w:val="TextBody"/>
        <w:bidi w:val="0"/>
        <w:spacing w:before="0" w:after="283"/>
        <w:jc w:val="left"/>
        <w:rPr/>
      </w:pPr>
      <w:r>
        <w:rPr/>
        <w:t>The PS asks for this in its own words. This is the section where a weak answer costs the most, because scalability is the phrase the problem statement chose.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Q6.1 — "Your PS demands a scalable backend. Describe what you have today, honestly, and what breaks first."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Give the breakage ladder in order. A team that can name what breaks </w:t>
      </w:r>
      <w:r>
        <w:rPr>
          <w:rStyle w:val="Emphasis"/>
        </w:rPr>
        <w:t>first</w:t>
      </w:r>
      <w:r>
        <w:rPr/>
        <w:t xml:space="preserve"> has load- tested its own thinking; a team that says "we'll use Kubernetes" has not.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Today.</w:t>
      </w:r>
      <w:r>
        <w:rPr/>
        <w:t xml:space="preserve"> One FastAPI service (</w:t>
      </w:r>
      <w:r>
        <w:rPr>
          <w:rStyle w:val="SourceText"/>
        </w:rPr>
        <w:t>web/api</w:t>
      </w:r>
      <w:r>
        <w:rPr/>
        <w:t>) + one AI service (</w:t>
      </w:r>
      <w:r>
        <w:rPr>
          <w:rStyle w:val="SourceText"/>
        </w:rPr>
        <w:t>ai/</w:t>
      </w:r>
      <w:r>
        <w:rPr/>
        <w:t xml:space="preserve">), Postgres, S3-compatible object store. </w:t>
      </w:r>
      <w:r>
        <w:rPr>
          <w:rStyle w:val="SourceText"/>
        </w:rPr>
        <w:t>web/</w:t>
      </w:r>
      <w:r>
        <w:rPr/>
        <w:t xml:space="preserve"> calls </w:t>
      </w:r>
      <w:r>
        <w:rPr>
          <w:rStyle w:val="SourceText"/>
        </w:rPr>
        <w:t>ai/</w:t>
      </w:r>
      <w:r>
        <w:rPr/>
        <w:t xml:space="preserve"> over HTTP and </w:t>
      </w:r>
      <w:r>
        <w:rPr>
          <w:rStyle w:val="StrongEmphasis"/>
        </w:rPr>
        <w:t>never imports across that line</w:t>
      </w:r>
      <w:r>
        <w:rPr/>
        <w:t xml:space="preserve"> — separate deploy units, which is the property that lets the AI service scale on GPUs while the API scales on CPUs.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breaks first, in order, with the number: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2018"/>
        <w:gridCol w:w="3439"/>
        <w:gridCol w:w="3323"/>
        <w:gridCol w:w="2333"/>
      </w:tblGrid>
      <w:tr>
        <w:trPr>
          <w:tblHeader w:val="true"/>
        </w:trPr>
        <w:tc>
          <w:tcPr>
            <w:tcW w:w="22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Limit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Threshold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Fix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Object-store round trips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~7 s per photo from Sydney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Move to </w:t>
            </w:r>
            <w:r>
              <w:rPr>
                <w:rStyle w:val="SourceText"/>
              </w:rPr>
              <w:t>ap-south-1</w:t>
            </w:r>
            <w:r>
              <w:rPr/>
              <w:t xml:space="preserve">; </w:t>
            </w:r>
            <w:r>
              <w:rPr>
                <w:rStyle w:val="SourceText"/>
              </w:rPr>
              <w:t>asyncio.gather</w:t>
            </w:r>
            <w:r>
              <w:rPr/>
              <w:t xml:space="preserve"> the 7 puts; </w:t>
            </w:r>
            <w:r>
              <w:rPr>
                <w:rStyle w:val="SourceText"/>
              </w:rPr>
              <w:t>ai/</w:t>
            </w:r>
            <w:r>
              <w:rPr/>
              <w:t xml:space="preserve"> writes storage directly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Already hit.</w:t>
            </w:r>
            <w:r>
              <w:rPr/>
              <w:t xml:space="preserve"> S3 switched off for demo 2026-09-02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DB latency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200–406 ms per query × several per request from Sydney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region move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fix, same setting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DB connection pool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Each request holds a connection ~1–2 s at that latency ⇒ a pool of 10 saturates near </w:t>
            </w:r>
            <w:r>
              <w:rPr>
                <w:rStyle w:val="StrongEmphasis"/>
              </w:rPr>
              <w:t>5–10 rps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Region move collapses hold time; then PgBouncer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tuned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Single GPU worker thread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~46 photos/min, ~2,700/hr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 workers, one per GPU; autoscale on queue depth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Deliberate today (one GPU, 1.6 GB per BiRefNet)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Process-local job table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Dies on restart; breaks with 2 replicas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Redis + RQ. Swap surface is two functions</w:t>
            </w:r>
            <w:r>
              <w:rPr/>
              <w:t xml:space="preserve">: </w:t>
            </w:r>
            <w:r>
              <w:rPr>
                <w:rStyle w:val="SourceText"/>
              </w:rPr>
              <w:t>submit()</w:t>
            </w:r>
            <w:r>
              <w:rPr/>
              <w:t xml:space="preserve">, </w:t>
            </w:r>
            <w:r>
              <w:rPr>
                <w:rStyle w:val="SourceText"/>
              </w:rPr>
              <w:t>get()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Settled, unbuilt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 xml:space="preserve">No rate limit on </w:t>
            </w:r>
            <w:r>
              <w:rPr>
                <w:rStyle w:val="SourceText"/>
              </w:rPr>
              <w:t>/catalog/interpret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Spends money per call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Token buckets + spend ceiling + circuit breaker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Known gap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 /api/enhanced/{path}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Demo scaffolding; embeds a DHCP host into DB rows</w:t>
            </w:r>
          </w:p>
        </w:tc>
        <w:tc>
          <w:tcPr>
            <w:tcW w:w="33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Delete before production</w:t>
            </w:r>
          </w:p>
        </w:tc>
        <w:tc>
          <w:tcPr>
            <w:tcW w:w="23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Documented as must-delete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honest headline:</w:t>
      </w:r>
      <w:r>
        <w:rPr/>
        <w:t xml:space="preserve"> items 1 and 2 are a </w:t>
      </w:r>
      <w:r>
        <w:rPr>
          <w:rStyle w:val="StrongEmphasis"/>
        </w:rPr>
        <w:t>project region setting, not code.</w:t>
      </w:r>
      <w:r>
        <w:rPr/>
        <w:t xml:space="preserve"> The single largest performance fact in this system is that </w:t>
      </w:r>
      <w:r>
        <w:rPr>
          <w:rStyle w:val="StrongEmphasis"/>
        </w:rPr>
        <w:t>compute was 15% of the wall clock</w:t>
      </w:r>
      <w:r>
        <w:rPr/>
        <w:t xml:space="preserve"> and the remaining 85% was geography. That is a good problem to have — it means the expensive part (model inference at 402 ms) is already fast enough, and the rest is configuration.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At scale, the shape does not change: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>Capacitor app ─┐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>Admin (Next)   ├─▶ FastAPI (web/api, N replicas, stateless) ─▶ Postgres (HA + read replicas)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>Marketplace   ─┘                    │                        ─▶ Redis  (queue + rate limits)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      │                        ─▶ </w:t>
      </w:r>
      <w:r>
        <w:rPr>
          <w:rStyle w:val="SourceText"/>
        </w:rPr>
        <w:t>S3/R2 + CDN</w:t>
      </w:r>
    </w:p>
    <w:p>
      <w:pPr>
        <w:pStyle w:val="PreformattedText"/>
        <w:pBdr>
          <w:left w:val="single" w:sz="18" w:space="6" w:color="16365C"/>
        </w:pBdr>
        <w:shd w:fill="F6F6F6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          │ </w:t>
      </w:r>
      <w:r>
        <w:rPr>
          <w:rStyle w:val="SourceText"/>
        </w:rPr>
        <w:t>HTTP, never an import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ai/service ×N  (1 GPU each, autoscaled on queue depth)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Stateless API replicas behind a load balancer; the only stateful things are Postgres, Redis and object storage, all of which are managed products. </w:t>
      </w:r>
      <w:r>
        <w:rPr>
          <w:rStyle w:val="StrongEmphasis"/>
        </w:rPr>
        <w:t>We do not need a novel architecture — we need the boring one, correctly placed in Mumbai.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Q6.2 — "Demo day. A minister's office pushes a notification and forty thousand artisans open the app in ten minutes. What actually happens?"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Answer the arithmetic, then say what the user </w:t>
      </w:r>
      <w:r>
        <w:rPr>
          <w:rStyle w:val="Emphasis"/>
        </w:rPr>
        <w:t>sees</w:t>
      </w:r>
      <w:r>
        <w:rPr/>
        <w:t>, because that is the part that decides whether they ever come back.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Today, with one GPU and one worker thread:</w:t>
      </w:r>
      <w:r>
        <w:rPr/>
        <w:t xml:space="preserve"> enhancement queues at ~46/min. Forty thousand photographs is roughly </w:t>
      </w:r>
      <w:r>
        <w:rPr>
          <w:rStyle w:val="StrongEmphasis"/>
        </w:rPr>
        <w:t>fourteen hours</w:t>
      </w:r>
      <w:r>
        <w:rPr/>
        <w:t xml:space="preserve"> of queue. The API itself would survive far longer than the queue — auth, catalog reads and publish are cheap; </w:t>
      </w:r>
      <w:r>
        <w:rPr>
          <w:rStyle w:val="StrongEmphasis"/>
        </w:rPr>
        <w:t>it is the GPU that falls over.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what the artisan sees today is the real failure</w:t>
      </w:r>
      <w:r>
        <w:rPr/>
        <w:t xml:space="preserve">: a poll that stays </w:t>
      </w:r>
      <w:r>
        <w:rPr>
          <w:rStyle w:val="SourceText"/>
        </w:rPr>
        <w:t>queued</w:t>
      </w:r>
      <w:r>
        <w:rPr/>
        <w:t xml:space="preserve">, with no position and no estimate. Rule 3 in </w:t>
      </w:r>
      <w:r>
        <w:rPr>
          <w:rStyle w:val="SourceText"/>
        </w:rPr>
        <w:t>CLAUDE.md</w:t>
      </w:r>
      <w:r>
        <w:rPr/>
        <w:t xml:space="preserve"> says every failure must speak; </w:t>
      </w:r>
      <w:r>
        <w:rPr>
          <w:rStyle w:val="StrongEmphasis"/>
        </w:rPr>
        <w:t>a queue that is merely slow is not currently treated as a failure, so it says nothing.</w:t>
      </w:r>
      <w:r>
        <w:rPr/>
        <w:t xml:space="preserve"> That is the bug.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we would do, in order of effect per rupee: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Backpressure that speaks.</w:t>
      </w:r>
      <w:r>
        <w:rPr/>
        <w:t xml:space="preserve"> Above a queue-depth threshold: </w:t>
      </w:r>
      <w:r>
        <w:rPr>
          <w:rStyle w:val="Emphasis"/>
        </w:rPr>
        <w:t>"abhi bhīṛ hai — aapki photo taiyar hoke aa jayegi, aap aage badhiye."</w:t>
      </w:r>
      <w:r>
        <w:rPr/>
        <w:t xml:space="preserve"> </w:t>
      </w:r>
      <w:r>
        <w:rPr>
          <w:rStyle w:val="StrongEmphasis"/>
        </w:rPr>
        <w:t>Then let them continue.</w:t>
      </w:r>
      <w:r>
        <w:rPr/>
        <w:t xml:space="preserve"> Enhancement is asynchronous by contract, and rule 3 already says losing the enhancement must never cost the listing — so the artisan finishes the catalog, prices it, and publishes with their own photo, which the enhanced version replaces when it lands. </w:t>
      </w:r>
      <w:r>
        <w:rPr>
          <w:rStyle w:val="StrongEmphasis"/>
        </w:rPr>
        <w:t>This costs nothing and removes the failure entirely.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Switch the fleet to BiRefNet-lite.</w:t>
      </w:r>
      <w:r>
        <w:rPr/>
        <w:t xml:space="preserve"> 273 ms vs 645 ms and 851 MiB vs 1615 MiB — </w:t>
      </w:r>
      <w:r>
        <w:rPr>
          <w:rStyle w:val="StrongEmphasis"/>
        </w:rPr>
        <w:t>~2.4× throughput and two workers per card instead of one.</w:t>
      </w:r>
      <w:r>
        <w:rPr/>
        <w:t xml:space="preserve"> Already benchmarked, already "held in reserve." That is roughly a </w:t>
      </w:r>
      <w:r>
        <w:rPr>
          <w:rStyle w:val="StrongEmphasis"/>
        </w:rPr>
        <w:t>5× effective capacity change</w:t>
      </w:r>
      <w:r>
        <w:rPr/>
        <w:t xml:space="preserve"> for a config flag.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Autoscale GPU workers on queue depth</w:t>
      </w:r>
      <w:r>
        <w:rPr/>
        <w:t xml:space="preserve">, on preemptible instances — the queue tolerates preemption because the contract is already asynchronous.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Client-side downscale before upload.</w:t>
      </w:r>
      <w:r>
        <w:rPr/>
        <w:t xml:space="preserve"> The server reduces to 2000 px anyway; uploading 12 MP is bandwidth the artisan paid for and we discard.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Capacity after that, arithmetically:</w:t>
      </w:r>
      <w:r>
        <w:rPr/>
        <w:t xml:space="preserve"> 1.3 s/photo ⇒ one GPU at 50% utilisation ≈ </w:t>
      </w:r>
      <w:r>
        <w:rPr>
          <w:rStyle w:val="StrongEmphasis"/>
        </w:rPr>
        <w:t>1.3 million photographs/month</w:t>
      </w:r>
      <w:r>
        <w:rPr/>
        <w:t xml:space="preserve">. At ten photographs per artisan per month that is </w:t>
      </w:r>
      <w:r>
        <w:rPr>
          <w:rStyle w:val="StrongEmphasis"/>
        </w:rPr>
        <w:t>~130,000 artisans per GPU.</w:t>
      </w:r>
      <w:r>
        <w:rPr/>
        <w:t xml:space="preserve"> Forty thousand photographs in ten minutes needs ~9 lite-configured GPUs to clear in real time, or </w:t>
      </w:r>
      <w:r>
        <w:rPr>
          <w:rStyle w:val="StrongEmphasis"/>
        </w:rPr>
        <w:t>one GPU and a queue that speaks.</w:t>
      </w:r>
      <w:r>
        <w:rPr/>
        <w:t xml:space="preserve"> The second option is free.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Breaks when.</w:t>
      </w:r>
      <w:r>
        <w:rPr/>
        <w:t xml:space="preserve"> The database, not the GPU, once the region is fixed and the queue is elastic — publish fan-out writes several rows per product across </w:t>
      </w:r>
      <w:r>
        <w:rPr>
          <w:rStyle w:val="SourceText"/>
        </w:rPr>
        <w:t>Product</w:t>
      </w:r>
      <w:r>
        <w:rPr/>
        <w:t xml:space="preserve">, </w:t>
      </w:r>
      <w:r>
        <w:rPr>
          <w:rStyle w:val="SourceText"/>
        </w:rPr>
        <w:t>ProductImage</w:t>
      </w:r>
      <w:r>
        <w:rPr/>
        <w:t xml:space="preserve">, </w:t>
      </w:r>
      <w:r>
        <w:rPr>
          <w:rStyle w:val="SourceText"/>
        </w:rPr>
        <w:t>ChannelStatus</w:t>
      </w:r>
      <w:r>
        <w:rPr/>
        <w:t xml:space="preserve"> and </w:t>
      </w:r>
      <w:r>
        <w:rPr>
          <w:rStyle w:val="SourceText"/>
        </w:rPr>
        <w:t>InventoryLedger</w:t>
      </w:r>
      <w:r>
        <w:rPr/>
        <w:t>. That is a connection-pool and index problem, and it is the ordinary kind.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Q6.3 — "Multi-tenancy. Fifty agencies, each with their own artisans. How do you stop agency A seeing agency B?"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Today.</w:t>
      </w:r>
      <w:r>
        <w:rPr/>
        <w:t xml:space="preserve"> Designed, partially built. The admin console is multi-tenant by design — </w:t>
      </w:r>
      <w:r>
        <w:rPr>
          <w:rStyle w:val="Emphasis"/>
        </w:rPr>
        <w:t>"each agency sees only its own artisans"</w:t>
      </w:r>
      <w:r>
        <w:rPr/>
        <w:t xml:space="preserve"> (</w:t>
      </w:r>
      <w:r>
        <w:rPr>
          <w:rStyle w:val="SourceText"/>
        </w:rPr>
        <w:t>docs/Master-Technical-Reference.md</w:t>
      </w:r>
      <w:r>
        <w:rPr/>
        <w:t xml:space="preserve"> §3.2), </w:t>
      </w:r>
      <w:r>
        <w:rPr>
          <w:rStyle w:val="SourceText"/>
        </w:rPr>
        <w:t>Artisan.cluster_id</w:t>
      </w:r>
      <w:r>
        <w:rPr/>
        <w:t xml:space="preserve"> carries the association, and the console pages (</w:t>
      </w:r>
      <w:r>
        <w:rPr>
          <w:rStyle w:val="SourceText"/>
        </w:rPr>
        <w:t>/artisans</w:t>
      </w:r>
      <w:r>
        <w:rPr/>
        <w:t xml:space="preserve">, </w:t>
      </w:r>
      <w:r>
        <w:rPr>
          <w:rStyle w:val="SourceText"/>
        </w:rPr>
        <w:t>/orders</w:t>
      </w:r>
      <w:r>
        <w:rPr/>
        <w:t xml:space="preserve">, </w:t>
      </w:r>
      <w:r>
        <w:rPr>
          <w:rStyle w:val="SourceText"/>
        </w:rPr>
        <w:t>/reports</w:t>
      </w:r>
      <w:r>
        <w:rPr/>
        <w:t>) are scoped.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honest state:</w:t>
      </w:r>
      <w:r>
        <w:rPr/>
        <w:t xml:space="preserve"> scoping today is application-level — a filter in a query. </w:t>
      </w:r>
      <w:r>
        <w:rPr>
          <w:rStyle w:val="StrongEmphasis"/>
        </w:rPr>
        <w:t xml:space="preserve">That is one forgotten </w:t>
      </w:r>
      <w:r>
        <w:rPr>
          <w:rStyle w:val="SourceText"/>
        </w:rPr>
        <w:t>WHERE</w:t>
      </w:r>
      <w:r>
        <w:rPr>
          <w:rStyle w:val="StrongEmphasis"/>
        </w:rPr>
        <w:t xml:space="preserve"> clause away from a cross-tenant leak</w:t>
      </w:r>
      <w:r>
        <w:rPr/>
        <w:t>, and on a government deployment holding beneficiary data that is the single most damaging bug class available to us.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At scale, the correct answer is not more careful queries:</w:t>
      </w:r>
      <w:r>
        <w:rPr/>
        <w:t xml:space="preserve"> Postgres </w:t>
      </w:r>
      <w:r>
        <w:rPr>
          <w:rStyle w:val="StrongEmphasis"/>
        </w:rPr>
        <w:t>row-level security</w:t>
      </w:r>
      <w:r>
        <w:rPr/>
        <w:t xml:space="preserve"> with the tenant id set per connection, so a missing filter fails closed rather than open. Plus per-tenant audit logging, and a test that asserts a cross-tenant read returns zero rows. RLS is a migration and a session variable, not a rewrite.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Q6.4 — "This is beneficiary data for a social justice ministry. What are you storing about a person, and what happens when it leaks?"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is the question where our design is genuinely unusual, and it should be stated as a principle before a list.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golden rule</w:t>
      </w:r>
      <w:r>
        <w:rPr/>
        <w:t xml:space="preserve"> (</w:t>
      </w:r>
      <w:r>
        <w:rPr>
          <w:rStyle w:val="SourceText"/>
        </w:rPr>
        <w:t>docs/Master-Technical-Reference.md</w:t>
      </w:r>
      <w:r>
        <w:rPr/>
        <w:t xml:space="preserve"> §14.1):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What we don't store cannot leak.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we NEVER store:</w:t>
      </w:r>
      <w:r>
        <w:rPr/>
        <w:t xml:space="preserve"> PAN number · Aadhaar number · GST certificate · bank account number · photographs of any document · platform passwords · platform OAuth tokens </w:t>
      </w:r>
      <w:r>
        <w:rPr>
          <w:rStyle w:val="Emphasis"/>
        </w:rPr>
        <w:t>(one exception: Amazon/Flipkart refresh tokens if the artisan explicitly connects — encrypted)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we DO store:</w:t>
      </w:r>
      <w:r>
        <w:rPr/>
        <w:t xml:space="preserve"> phone + OTP session · language preference · display name · UPI id (payout only) · </w:t>
      </w:r>
      <w:r>
        <w:rPr>
          <w:rStyle w:val="StrongEmphasis"/>
        </w:rPr>
        <w:t>boolean readiness flags</w:t>
      </w:r>
      <w:r>
        <w:rPr/>
        <w:t xml:space="preserve"> · product catalog · self-reported outcomes.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boolean design is the key decision and it is worth one full sentence in the pitch:</w:t>
      </w:r>
      <w:r>
        <w:rPr/>
        <w:t xml:space="preserve"> </w:t>
      </w:r>
      <w:r>
        <w:rPr>
          <w:rStyle w:val="SourceText"/>
        </w:rPr>
        <w:t>has_pan: true</w:t>
      </w:r>
      <w:r>
        <w:rPr/>
        <w:t xml:space="preserve"> — </w:t>
      </w:r>
      <w:r>
        <w:rPr>
          <w:rStyle w:val="StrongEmphasis"/>
        </w:rPr>
        <w:t>never the number.</w:t>
      </w:r>
      <w:r>
        <w:rPr/>
        <w:t xml:space="preserve"> Four booleans and a phone number is the entire signup. </w:t>
      </w:r>
      <w:r>
        <w:rPr>
          <w:rStyle w:val="StrongEmphasis"/>
        </w:rPr>
        <w:t>That keeps us out of DPDP's heaviest obligations entirely</w:t>
      </w:r>
      <w:r>
        <w:rPr/>
        <w:t>, because there is no financial identifier in the database to be obliged about.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Four design principles behind it: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Never ask for credentials.</w:t>
      </w:r>
      <w:r>
        <w:rPr/>
        <w:t xml:space="preserve"> OAuth redirect only. </w:t>
      </w:r>
      <w:r>
        <w:rPr>
          <w:rStyle w:val="StrongEmphasis"/>
        </w:rPr>
        <w:t>A demo that shows "enter your Amazon password" is a disqualification-level flaw</w:t>
      </w:r>
      <w:r>
        <w:rPr/>
        <w:t xml:space="preserve"> — and we say that in the adapter's own docstring.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Verify, don't store.</w:t>
      </w:r>
      <w:r>
        <w:rPr/>
        <w:t xml:space="preserve"> If PAN/GST verification is ever needed: a regulated KYC provider, and we keep </w:t>
      </w:r>
      <w:r>
        <w:rPr>
          <w:rStyle w:val="SourceText"/>
        </w:rPr>
        <w:t>verified: true</w:t>
      </w:r>
      <w:r>
        <w:rPr/>
        <w:t xml:space="preserve"> + timestamp + masked last-4. Never the full number.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[do not] Do not touch Aadhaar.</w:t>
      </w:r>
      <w:r>
        <w:rPr/>
        <w:t xml:space="preserve"> The Aadhaar Act restricts storage. If ever unavoidable, Offline eKYC XML or Virtual ID only. </w:t>
      </w:r>
      <w:r>
        <w:rPr>
          <w:rStyle w:val="StrongEmphasis"/>
        </w:rPr>
        <w:t>Simplest advice: avoid entirely</w:t>
      </w:r>
      <w:r>
        <w:rPr/>
        <w:t xml:space="preserve"> — and we do.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Bank verification via penny-drop</w:t>
      </w:r>
      <w:r>
        <w:rPr/>
        <w:t xml:space="preserve"> (₹1 test transfer), token stored, not the account number.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On a breach.</w:t>
      </w:r>
      <w:r>
        <w:rPr/>
        <w:t xml:space="preserve"> DPDP is two-stage: notify the Data Protection Board </w:t>
      </w:r>
      <w:r>
        <w:rPr>
          <w:rStyle w:val="StrongEmphasis"/>
        </w:rPr>
        <w:t>immediately</w:t>
      </w:r>
      <w:r>
        <w:rPr/>
        <w:t xml:space="preserve">, then affected Data Principals </w:t>
      </w:r>
      <w:r>
        <w:rPr>
          <w:rStyle w:val="StrongEmphasis"/>
        </w:rPr>
        <w:t>within 72 hours</w:t>
      </w:r>
      <w:r>
        <w:rPr/>
        <w:t xml:space="preserve">, in plain language, saying what was exposed and what to do. Penalties reach </w:t>
      </w:r>
      <w:r>
        <w:rPr>
          <w:rStyle w:val="StrongEmphasis"/>
        </w:rPr>
        <w:t>₹250 crore</w:t>
      </w:r>
      <w:r>
        <w:rPr/>
        <w:t xml:space="preserve"> for serious violations and </w:t>
      </w:r>
      <w:r>
        <w:rPr>
          <w:rStyle w:val="StrongEmphasis"/>
        </w:rPr>
        <w:t>₹200 crore</w:t>
      </w:r>
      <w:r>
        <w:rPr/>
        <w:t xml:space="preserve"> for failure to notify.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a breach of our database would actually expose:</w:t>
      </w:r>
      <w:r>
        <w:rPr/>
        <w:t xml:space="preserve"> phone numbers, names, pincodes, UPI ids, product catalogs. </w:t>
      </w:r>
      <w:r>
        <w:rPr>
          <w:rStyle w:val="StrongEmphasis"/>
        </w:rPr>
        <w:t>Serious, and worth saying so</w:t>
      </w:r>
      <w:r>
        <w:rPr/>
        <w:t xml:space="preserve"> — a phone number plus a craft plus a pincode is identifying. But no PAN, no Aadhaar, no bank account, no documents. </w:t>
      </w:r>
      <w:r>
        <w:rPr>
          <w:rStyle w:val="StrongEmphasis"/>
        </w:rPr>
        <w:t>The blast radius is a deliberate design output, not luck.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Q6.5 — "DPDP compliance. Give me a date and an obligation, not a paragraph."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Today.</w:t>
      </w:r>
      <w:r>
        <w:rPr/>
        <w:t xml:space="preserve"> DPDP Rules were </w:t>
      </w:r>
      <w:r>
        <w:rPr>
          <w:rStyle w:val="StrongEmphasis"/>
        </w:rPr>
        <w:t>notified 14 November 2025</w:t>
      </w:r>
      <w:r>
        <w:rPr/>
        <w:t>, phased: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November 2026 — Rule 4, Consent Management. First hard deadline.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May 2027 — Rules 3, 5–16, 22, 23:</w:t>
      </w:r>
      <w:r>
        <w:rPr/>
        <w:t xml:space="preserve"> notices, security safeguards, breach notification, data erasure, children's data, rights management, cross-border transfers.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What is built against it: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/consent</w:t>
      </w:r>
      <w:r>
        <w:rPr>
          <w:rStyle w:val="StrongEmphasis"/>
        </w:rPr>
        <w:t xml:space="preserve"> is screen 2 of onboarding</w:t>
      </w:r>
      <w:r>
        <w:rPr/>
        <w:t xml:space="preserve">, before authentication. It stores a </w:t>
      </w:r>
      <w:r>
        <w:rPr>
          <w:rStyle w:val="StrongEmphasis"/>
        </w:rPr>
        <w:t>consent artifact</w:t>
      </w:r>
      <w:r>
        <w:rPr/>
        <w:t xml:space="preserve">: </w:t>
      </w:r>
      <w:r>
        <w:rPr>
          <w:rStyle w:val="SourceText"/>
        </w:rPr>
        <w:t>{ timestamp, language, notice_version }</w:t>
      </w:r>
      <w:r>
        <w:rPr/>
        <w:t xml:space="preserve">. Versioned, so a notice change is auditable.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/settings</w:t>
      </w:r>
      <w:r>
        <w:rPr>
          <w:rStyle w:val="StrongEmphasis"/>
        </w:rPr>
        <w:t xml:space="preserve"> carries "mera data mitaayein"</w:t>
      </w:r>
      <w:r>
        <w:rPr/>
        <w:t xml:space="preserve"> — the DPDP erasure right, as a spoken option in the app rather than an email address in a policy nobody can read.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booleans-only design above.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The tie-in that almost nobody else will have thought of</w:t>
      </w:r>
      <w:r>
        <w:rPr/>
        <w:t xml:space="preserve"> (</w:t>
      </w:r>
      <w:r>
        <w:rPr>
          <w:rStyle w:val="SourceText"/>
        </w:rPr>
        <w:t>docs/Master-Technical-Reference.md</w:t>
      </w:r>
      <w:r>
        <w:rPr/>
        <w:t xml:space="preserve"> §14.6): DPDP requires the consent notice in </w:t>
      </w:r>
      <w:r>
        <w:rPr>
          <w:rStyle w:val="StrongEmphasis"/>
        </w:rPr>
        <w:t>plain language</w:t>
      </w:r>
      <w:r>
        <w:rPr/>
        <w:t xml:space="preserve">, with the user able to choose from the </w:t>
      </w:r>
      <w:r>
        <w:rPr>
          <w:rStyle w:val="StrongEmphasis"/>
        </w:rPr>
        <w:t>22 Eighth Schedule languages</w:t>
      </w:r>
      <w:r>
        <w:rPr/>
        <w:t xml:space="preserve">. </w:t>
      </w:r>
      <w:r>
        <w:rPr>
          <w:rStyle w:val="StrongEmphasis"/>
        </w:rPr>
        <w:t>Our app is already multilingual.</w:t>
      </w:r>
      <w:r>
        <w:rPr/>
        <w:t xml:space="preserve"> So the notice is </w:t>
      </w:r>
      <w:r>
        <w:rPr>
          <w:rStyle w:val="StrongEmphasis"/>
        </w:rPr>
        <w:t>played by voice, in Odia or Hindi or Bengali</w:t>
      </w:r>
      <w:r>
        <w:rPr/>
        <w:t xml:space="preserve"> — </w:t>
      </w:r>
      <w:r>
        <w:rPr>
          <w:rStyle w:val="Emphasis"/>
        </w:rPr>
        <w:t>"hum aapka PAN sirf GST enrolment ke liye istemaal karenge, kisi aur ke saath share nahi karenge."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One feature, two wins: DPDP compliance AND accessibility.</w:t>
      </w:r>
      <w:r>
        <w:rPr/>
        <w:t xml:space="preserve"> For a user who cannot read, a written consent notice is not consent. Voice consent is not a nice-to-have here — it is arguably the only </w:t>
      </w:r>
      <w:r>
        <w:rPr>
          <w:rStyle w:val="Emphasis"/>
        </w:rPr>
        <w:t>valid</w:t>
      </w:r>
      <w:r>
        <w:rPr/>
        <w:t xml:space="preserve"> consent this user can give.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is NOT closed, and we should say it before we are asked: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cross-border disclosure.</w:t>
      </w:r>
      <w:r>
        <w:rPr/>
        <w:t xml:space="preserve"> The notice does not currently say a third-party processor may see the artisan's name during onboarding (Part 3, Q3.6). </w:t>
      </w:r>
      <w:r>
        <w:rPr>
          <w:rStyle w:val="StrongEmphasis"/>
        </w:rPr>
        <w:t>Under DPDP that disclosure should be made.</w:t>
      </w:r>
      <w:r>
        <w:rPr/>
        <w:t xml:space="preserve"> It is the gap I would fix first.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 named Data Protection Officer, no grievance mechanism, no retention schedule.</w:t>
      </w:r>
      <w:r>
        <w:rPr/>
        <w:t xml:space="preserve"> All three are May-2027 obligations. None exists today.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DigiLocker</w:t>
      </w:r>
      <w:r>
        <w:rPr/>
        <w:t xml:space="preserve"> is the right answer wherever verified documents are genuinely required — consent-based government fetch, no document photographs. </w:t>
      </w:r>
      <w:r>
        <w:rPr>
          <w:rStyle w:val="StrongEmphasis"/>
        </w:rPr>
        <w:t>Requester-organisation registration is a real gate</w:t>
      </w:r>
      <w:r>
        <w:rPr/>
        <w:t xml:space="preserve"> and is unverified (§18 item 6).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Q6.6 — "Nothing here is observable. How would you even know your app is failing for a weaver in Sambalpur?"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Concede — there is no telemetry stack today — but the </w:t>
      </w:r>
      <w:r>
        <w:rPr>
          <w:rStyle w:val="Emphasis"/>
        </w:rPr>
        <w:t>design</w:t>
      </w:r>
      <w:r>
        <w:rPr/>
        <w:t xml:space="preserve"> already specifies the right metrics, which is the more interesting half.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Today.</w:t>
      </w:r>
      <w:r>
        <w:rPr/>
        <w:t xml:space="preserve"> No metrics pipeline, no tracing, no error aggregation. That is a real gap and it is not written down anywhere as one, which makes it worse than the gaps that are.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But the metrics that matter are already defined by design decisions</w:t>
      </w:r>
      <w:r>
        <w:rPr/>
        <w:t>, which is unusual and worth showing: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14"/>
        <w:gridCol w:w="5409"/>
        <w:gridCol w:w="3416"/>
      </w:tblGrid>
      <w:tr>
        <w:trPr>
          <w:tblHeader w:val="true"/>
        </w:trPr>
        <w:tc>
          <w:tcPr>
            <w:tcW w:w="251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Metric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Why it exists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Where it comes from</w:t>
            </w:r>
          </w:p>
        </w:tc>
      </w:tr>
      <w:tr>
        <w:trPr/>
        <w:tc>
          <w:tcPr>
            <w:tcW w:w="2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Gate false-reject rate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21/93 today. If it drifts up, artisans are being told to reshoot good photographs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images/check.py</w:t>
            </w:r>
            <w:r>
              <w:rPr/>
              <w:t xml:space="preserve"> + </w:t>
            </w:r>
            <w:r>
              <w:rPr>
                <w:rStyle w:val="SourceText"/>
              </w:rPr>
              <w:t>calibrate.py</w:t>
            </w:r>
            <w:r>
              <w:rPr/>
              <w:t xml:space="preserve"> against fixtures</w:t>
            </w:r>
          </w:p>
        </w:tc>
      </w:tr>
      <w:tr>
        <w:trPr/>
        <w:tc>
          <w:tcPr>
            <w:tcW w:w="2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Selector-pack match rate per step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Below threshold → </w:t>
            </w:r>
            <w:r>
              <w:rPr>
                <w:rStyle w:val="StrongEmphasis"/>
              </w:rPr>
              <w:t>auto-revert to guided-paste</w:t>
            </w:r>
            <w:r>
              <w:rPr/>
              <w:t xml:space="preserve"> and alert. The channel heals itself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Designed in §6.4, rule 4</w:t>
            </w:r>
          </w:p>
        </w:tc>
      </w:tr>
      <w:tr>
        <w:trPr/>
        <w:tc>
          <w:tcPr>
            <w:tcW w:w="2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Enhancement queue depth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honest autoscale signal, and the backpressure trigger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ai/enhance/jobs.py</w:t>
            </w:r>
          </w:p>
        </w:tc>
      </w:tr>
      <w:tr>
        <w:trPr/>
        <w:tc>
          <w:tcPr>
            <w:tcW w:w="2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Cost per listing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Alerts on spend velocity, not request count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LLM + ASR call sites</w:t>
            </w:r>
          </w:p>
        </w:tc>
      </w:tr>
      <w:tr>
        <w:trPr/>
        <w:tc>
          <w:tcPr>
            <w:tcW w:w="2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artisan_confirmed_payment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"Paisa aaya?" tap — see below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Order</w:t>
            </w:r>
            <w:r>
              <w:rPr/>
              <w:t xml:space="preserve"> schema</w:t>
            </w:r>
          </w:p>
        </w:tc>
      </w:tr>
      <w:tr>
        <w:trPr/>
        <w:tc>
          <w:tcPr>
            <w:tcW w:w="25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Orders per artisan per channel</w:t>
            </w:r>
          </w:p>
        </w:tc>
        <w:tc>
          <w:tcPr>
            <w:tcW w:w="54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Tests the entire thesis.</w:t>
            </w:r>
            <w:r>
              <w:rPr/>
              <w:t xml:space="preserve"> If listings rise and orders do not, cataloging was not the bottleneck</w:t>
            </w:r>
          </w:p>
        </w:tc>
        <w:tc>
          <w:tcPr>
            <w:tcW w:w="3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Order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last two are the ones I would put on a slide</w:t>
      </w:r>
      <w:r>
        <w:rPr/>
        <w:t>, because they are impact metrics that a ministry can audit, not vanity metrics.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one of them turns a limitation into an asset.</w:t>
      </w:r>
      <w:r>
        <w:rPr/>
        <w:t xml:space="preserve"> We can see marketplace settlement </w:t>
      </w:r>
      <w:r>
        <w:rPr>
          <w:rStyle w:val="Emphasis"/>
        </w:rPr>
        <w:t>schedules and promises</w:t>
      </w:r>
      <w:r>
        <w:rPr/>
        <w:t xml:space="preserve">. </w:t>
      </w:r>
      <w:r>
        <w:rPr>
          <w:rStyle w:val="StrongEmphasis"/>
        </w:rPr>
        <w:t>We cannot see the artisan's bank account.</w:t>
      </w:r>
      <w:r>
        <w:rPr/>
        <w:t xml:space="preserve"> So </w:t>
      </w:r>
      <w:r>
        <w:rPr>
          <w:rStyle w:val="SourceText"/>
        </w:rPr>
        <w:t>/earnings</w:t>
      </w:r>
      <w:r>
        <w:rPr/>
        <w:t xml:space="preserve"> adds a single tap — </w:t>
      </w:r>
      <w:r>
        <w:rPr>
          <w:rStyle w:val="StrongEmphasis"/>
        </w:rPr>
        <w:t>"Paisa aaya?"</w:t>
      </w:r>
      <w:r>
        <w:rPr/>
        <w:t xml:space="preserve"> → yes/no. One tap gives us </w:t>
      </w:r>
      <w:r>
        <w:rPr>
          <w:rStyle w:val="StrongEmphasis"/>
        </w:rPr>
        <w:t>real settlement-delay data across thousands of artisans</w:t>
      </w:r>
      <w:r>
        <w:rPr/>
        <w:t>, per channel, which is genuinely valuable evidence to hand back to the ministry and which nobody currently has.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Turn the limitation into our best dataset.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Q6.7 — "Who does quality control? A buyer receives a badly made piece and blames the platform."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Say we cannot, immediately. Inventing an answer here is worse than admitting the limit — that instruction is in our own docs.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Answer. We cannot. A software team cannot do physical QC at scale, and any claim otherwise collapses on the first follow-up.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real answer is three layers, and only one of them is ours: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cluster / Common Facility Centre does physical QC.</w:t>
      </w:r>
      <w:r>
        <w:rPr/>
        <w:t xml:space="preserve"> They already do it for exhibitions, and it is the natural function of the Cluster Hub — </w:t>
      </w:r>
      <w:r>
        <w:rPr>
          <w:rStyle w:val="StrongEmphasis"/>
        </w:rPr>
        <w:t>and these centres already exist as funded government infrastructure</w:t>
      </w:r>
      <w:r>
        <w:rPr/>
        <w:t xml:space="preserve"> (Block Level Clusters, Handicraft Service Centres). </w:t>
      </w:r>
      <w:r>
        <w:rPr>
          <w:rStyle w:val="StrongEmphasis"/>
        </w:rPr>
        <w:t>We plug into what the government already paid for rather than building a QC operation.</w:t>
      </w:r>
      <w:r>
        <w:rPr/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Platform-level:</w:t>
      </w:r>
      <w:r>
        <w:rPr/>
        <w:t xml:space="preserve"> buyer ratings, returns tracking, delisting on repeat complaints. Ours.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Certification marks</w:t>
      </w:r>
      <w:r>
        <w:rPr/>
        <w:t xml:space="preserve"> where held — Handloom Mark, India Handmade Mark, Craft Mark, Silk Mark, GI tags.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The Cluster Hub is worth a slide of its own</w:t>
      </w:r>
      <w:r>
        <w:rPr/>
        <w:t xml:space="preserve">, because one intervention solves six problems at once: quality check by a human · professional packing by one trained person instead of fifty artisans guessing · accurate weight and dimensions (under-declared weight silently eats margin through courier surcharges) · </w:t>
      </w:r>
      <w:r>
        <w:rPr>
          <w:rStyle w:val="StrongEmphasis"/>
        </w:rPr>
        <w:t>one courier stop for fifty artisans instead of fifty rural pickups</w:t>
      </w:r>
      <w:r>
        <w:rPr/>
        <w:t xml:space="preserve"> · a local job · and it uses existing infrastructure.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Don't build a logistics company. Plug into what exists.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Q6.8 — "Counterfeits. What stops someone selling a powerloom saree as handloom on your platform?"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Split the question — the mentor version of this conflated two different problems.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(a) Someone copies the artisan's design</w:t>
      </w:r>
      <w:r>
        <w:rPr/>
        <w:t xml:space="preserve"> → IP protection. Very hard, arguably out of scope. </w:t>
      </w:r>
      <w:r>
        <w:rPr>
          <w:rStyle w:val="StrongEmphasis"/>
        </w:rPr>
        <w:t>We say so honestly</w:t>
      </w:r>
      <w:r>
        <w:rPr/>
        <w:t xml:space="preserve"> rather than gesturing at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(b) Fake products sold as authentic on our platform</w:t>
      </w:r>
      <w:r>
        <w:rPr/>
        <w:t xml:space="preserve"> → solvable, </w:t>
      </w:r>
      <w:r>
        <w:rPr>
          <w:rStyle w:val="StrongEmphasis"/>
        </w:rPr>
        <w:t>and the government already solved it.</w:t>
      </w:r>
      <w:r>
        <w:rPr/>
        <w:t xml:space="preserve"> Handloom Mark, India Handmade Mark, Craft Mark, Silk Mark, GI tags — and the </w:t>
      </w:r>
      <w:r>
        <w:rPr>
          <w:rStyle w:val="StrongEmphasis"/>
        </w:rPr>
        <w:t>Handlooms (Reservation of Articles for Production) Act, 1985</w:t>
      </w:r>
      <w:r>
        <w:rPr/>
        <w:t>, which reserves 11 specified textile articles for handloom production.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Do not invent a new authenticity system.</w:t>
      </w:r>
      <w:r>
        <w:rPr/>
        <w:t xml:space="preserve"> On a government PS, </w:t>
      </w:r>
      <w:r>
        <w:rPr>
          <w:rStyle w:val="Emphasis"/>
        </w:rPr>
        <w:t>"we surface the Handloom Mark and GI status that DC-Handlooms already issues"</w:t>
      </w:r>
      <w:r>
        <w:rPr/>
        <w:t xml:space="preserve"> beats any novel scheme we could design.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certifications[]</w:t>
      </w:r>
      <w:r>
        <w:rPr/>
        <w:t xml:space="preserve"> and </w:t>
      </w:r>
      <w:r>
        <w:rPr>
          <w:rStyle w:val="SourceText"/>
        </w:rPr>
        <w:t>gi_claim</w:t>
      </w:r>
      <w:r>
        <w:rPr/>
        <w:t xml:space="preserve"> are fields on </w:t>
      </w:r>
      <w:r>
        <w:rPr>
          <w:rStyle w:val="SourceText"/>
        </w:rPr>
        <w:t>Product</w:t>
      </w:r>
      <w:r>
        <w:rPr/>
        <w:t xml:space="preserve"> from day one.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Q6.9 — "Add blockchain. Make it decentralised and tamper-proof."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Think.</w:t>
      </w:r>
      <w:r>
        <w:rPr/>
        <w:t xml:space="preserve"> This arrives from mentors and judges constantly. The answer must be respectful, correct, and must end with something we will actually build.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technical truth first.</w:t>
      </w:r>
      <w:r>
        <w:rPr/>
        <w:t xml:space="preserve"> </w:t>
      </w:r>
      <w:r>
        <w:rPr>
          <w:rStyle w:val="StrongEmphasis"/>
        </w:rPr>
        <w:t>Blockchain cannot verify that a physical saree is handloom.</w:t>
      </w:r>
      <w:r>
        <w:rPr/>
        <w:t xml:space="preserve"> It is a tamper-evident ledger. If someone writes </w:t>
      </w:r>
      <w:r>
        <w:rPr>
          <w:rStyle w:val="Emphasis"/>
        </w:rPr>
        <w:t>"authentic Sambalpuri"</w:t>
      </w:r>
      <w:r>
        <w:rPr/>
        <w:t xml:space="preserve"> about a powerloom fake, </w:t>
      </w:r>
      <w:r>
        <w:rPr>
          <w:rStyle w:val="StrongEmphasis"/>
        </w:rPr>
        <w:t>the chain faithfully stores that lie forever.</w:t>
      </w:r>
      <w:r>
        <w:rPr/>
        <w:t xml:space="preserve"> This is the oracle problem and it is </w:t>
      </w:r>
      <w:r>
        <w:rPr>
          <w:rStyle w:val="StrongEmphasis"/>
        </w:rPr>
        <w:t>unsolvable at the chain layer.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But there is a narrow, honest version worth building — the Digital Product Passport.</w:t>
      </w:r>
      <w:r>
        <w:rPr/>
        <w:t xml:space="preserve"> A signed record containing artisan/Pahchan id, cluster, craft type, materials, GI claim, date and image hashes. </w:t>
      </w:r>
      <w:r>
        <w:rPr>
          <w:rStyle w:val="StrongEmphasis"/>
        </w:rPr>
        <w:t>Signed by the cluster office or handicraft board</w:t>
      </w:r>
      <w:r>
        <w:rPr/>
        <w:t xml:space="preserve"> — the trusted authority that already exists. The hash is anchored to a public chain or transparency log so it cannot be backdated or altered. </w:t>
      </w:r>
      <w:r>
        <w:rPr>
          <w:rStyle w:val="StrongEmphasis"/>
        </w:rPr>
        <w:t>A QR code on the physical tag links to it</w:t>
      </w:r>
      <w:r>
        <w:rPr/>
        <w:t>, and that QR also rides on the shipping label, tying provenance to something the buyer physically holds.</w:t>
      </w:r>
    </w:p>
    <w:p>
      <w:pPr>
        <w:pStyle w:val="Quotations"/>
        <w:pBdr>
          <w:left w:val="single" w:sz="18" w:space="10" w:color="CC0000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Trust comes from WHO SIGNED, not from the chain. The chain only proves nobody edited it afterward.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Pitch it as:</w:t>
      </w:r>
      <w:r>
        <w:rPr/>
        <w:t xml:space="preserve"> </w:t>
      </w:r>
      <w:r>
        <w:rPr>
          <w:rStyle w:val="Emphasis"/>
        </w:rPr>
        <w:t>"Blockchain-anchored provenance, with certification authority remaining with DC-Handicrafts."</w:t>
      </w:r>
      <w:r>
        <w:rPr/>
        <w:t xml:space="preserve"> That satisfies the request, is technically honest, and answers the counterfeit and validation questions in one stroke.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And the scope discipline:</w:t>
      </w:r>
      <w:r>
        <w:rPr/>
        <w:t xml:space="preserve"> [warning] </w:t>
      </w:r>
      <w:r>
        <w:rPr>
          <w:rStyle w:val="StrongEmphasis"/>
        </w:rPr>
        <w:t>one slide. Not in the main architecture diagram. Not core.</w:t>
      </w:r>
      <w:r>
        <w:rPr/>
        <w:t xml:space="preserve"> </w:t>
      </w:r>
      <w:r>
        <w:rPr>
          <w:rStyle w:val="SourceText"/>
        </w:rPr>
        <w:t>docs/decisions.md</w:t>
      </w:r>
      <w:r>
        <w:rPr/>
        <w:t xml:space="preserve"> closed it that way deliberately. A blockchain in our core diagram would be the loudest thing on it and the least load-bearing.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serif" w:hAnsi="Liberation Serif;serif" w:eastAsia="Liberation Serif;serif" w:cs="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6365C"/>
      </w:pBdr>
    </w:pPr>
    <w:rPr>
      <w:rFonts w:ascii="Liberation Sans;sans-serif" w:hAnsi="Liberation Sans;sans-serif" w:eastAsia="Liberation Sans;sans-serif" w:cs="Liberation Sans;sans-serif"/>
      <w:b/>
      <w:bCs/>
      <w:color w:val="16365C"/>
      <w:sz w:val="38"/>
      <w:szCs w:val="38"/>
    </w:rPr>
  </w:style>
  <w:style w:type="paragraph" w:styleId="Heading2">
    <w:name w:val="Heading 2"/>
    <w:basedOn w:val="Heading"/>
    <w:next w:val="TextBody"/>
    <w:qFormat/>
    <w:pPr>
      <w:spacing w:before="320" w:after="120"/>
      <w:outlineLvl w:val="1"/>
    </w:pPr>
    <w:rPr>
      <w:rFonts w:ascii="Liberation Sans;sans-serif" w:hAnsi="Liberation Sans;sans-serif" w:eastAsia="Liberation Sans;sans-serif" w:cs="Liberation Sans;sans-serif"/>
      <w:b/>
      <w:bCs/>
      <w:color w:val="16365C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ans;sans-serif" w:hAnsi="Liberation Sans;sans-serif" w:eastAsia="Liberation Sans;sans-serif" w:cs="Liberation Sans;sans-serif"/>
      <w:b/>
      <w:bCs/>
      <w:color w:val="333333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8"/>
      <w:szCs w:val="18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18" w:space="6" w:color="16365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Quotations">
    <w:name w:val="Quotations"/>
    <w:basedOn w:val="Normal"/>
    <w:qFormat/>
    <w:pPr>
      <w:pBdr>
        <w:left w:val="single" w:sz="18" w:space="10" w:color="CC0000"/>
      </w:pBdr>
      <w:spacing w:before="0" w:after="283"/>
      <w:ind w:left="567" w:right="567" w:hanging="0"/>
    </w:pPr>
    <w:rPr>
      <w:i/>
      <w:iCs/>
      <w:color w:val="444444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06-scalability-and-privacy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