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Costing, Part B — The build-out: servers, cloud, people, and the levers</w:t>
      </w:r>
    </w:p>
    <w:p>
      <w:pPr>
        <w:pStyle w:val="TextBody"/>
        <w:bidi w:val="0"/>
        <w:spacing w:before="0" w:after="283"/>
        <w:jc w:val="left"/>
        <w:rPr/>
      </w:pPr>
      <w:r>
        <w:rPr/>
        <w:t>Markers as in Part A: [measured] measured · [list price] vendor list price, verify · [derived] derived.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Four deployment scales</w:t>
      </w:r>
    </w:p>
    <w:p>
      <w:pPr>
        <w:pStyle w:val="TextBody"/>
        <w:bidi w:val="0"/>
        <w:spacing w:before="0" w:after="283"/>
        <w:jc w:val="left"/>
        <w:rPr/>
      </w:pPr>
      <w:r>
        <w:rPr/>
        <w:t>[derived] Sized from Part A §2 — one GPU ≈ 100,000 artisans, 40% of onboarded artisans active.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6"/>
        <w:gridCol w:w="856"/>
        <w:gridCol w:w="796"/>
        <w:gridCol w:w="1276"/>
        <w:gridCol w:w="1006"/>
      </w:tblGrid>
      <w:tr>
        <w:trPr>
          <w:tblHeader w:val="true"/>
        </w:trPr>
        <w:tc>
          <w:tcPr>
            <w:tcW w:w="100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S1 · Pilot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S2 · State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S3 · National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S4 · Full TAM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Artisans onboarded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2,000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250,000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10,00,000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 crore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Active (40%)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800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100,000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4,00,000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40,00,000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Photos/month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8,000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 lakh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 lakh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crore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GPUs needed (full model)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 (shared)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 + 1 HA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4 + 2 HA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40 + 8 HA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GPUs with </w:t>
            </w:r>
            <w:r>
              <w:rPr>
                <w:rStyle w:val="StrongEmphasis"/>
              </w:rPr>
              <w:t>lite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+ 1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+ 1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 + 5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 tier (vCPU)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128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1,024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managed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 + 1 replica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 + 3 replicas + partitioning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Sharded by state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 storage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 GB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 TB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140 TB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1.4 PB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Note the shape.</w:t>
      </w:r>
      <w:r>
        <w:rPr/>
        <w:t xml:space="preserve"> From S1 to S4 artisan count multiplies by </w:t>
      </w:r>
      <w:r>
        <w:rPr>
          <w:rStyle w:val="StrongEmphasis"/>
        </w:rPr>
        <w:t>5,000×</w:t>
      </w:r>
      <w:r>
        <w:rPr/>
        <w:t xml:space="preserve">; GPU count multiplies by </w:t>
      </w:r>
      <w:r>
        <w:rPr>
          <w:rStyle w:val="StrongEmphasis"/>
        </w:rPr>
        <w:t>48×</w:t>
      </w:r>
      <w:r>
        <w:rPr/>
        <w:t xml:space="preserve">. </w:t>
      </w:r>
      <w:r>
        <w:rPr>
          <w:rStyle w:val="StrongEmphasis"/>
        </w:rPr>
        <w:t>The AI is the sub-linear part of this system.</w:t>
      </w:r>
      <w:r>
        <w:rPr/>
        <w:t xml:space="preserve"> What scales linearly is storage, bandwidth and — the point of §4 — people.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Option A — Buy the servers (capex, government-owned)</w:t>
      </w:r>
    </w:p>
    <w:p>
      <w:pPr>
        <w:pStyle w:val="TextBody"/>
        <w:bidi w:val="0"/>
        <w:spacing w:before="0" w:after="283"/>
        <w:jc w:val="left"/>
        <w:rPr/>
      </w:pPr>
      <w:r>
        <w:rPr/>
        <w:t>The right model for a ministry that wants an asset on its own books, and the cheaper model at sustained high utilisation.</w:t>
      </w:r>
    </w:p>
    <w:p>
      <w:pPr>
        <w:pStyle w:val="Heading3"/>
        <w:bidi w:val="0"/>
        <w:jc w:val="left"/>
        <w:rPr/>
      </w:pPr>
      <w:r>
        <w:rPr/>
        <w:t>2.1 [warning] The licensing trap, before any price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</w:t>
      </w:r>
      <w:r>
        <w:rPr>
          <w:rStyle w:val="StrongEmphasis"/>
        </w:rPr>
        <w:t>NVIDIA's GeForce driver EULA prohibits datacenter deployment of consumer cards.</w:t>
      </w:r>
      <w:r>
        <w:rPr/>
        <w:t xml:space="preserve"> An RTX 4090 is roughly a third the price of an L4 and is </w:t>
      </w:r>
      <w:r>
        <w:rPr>
          <w:rStyle w:val="StrongEmphasis"/>
        </w:rPr>
        <w:t>not licensable for a government datacenter.</w:t>
      </w:r>
      <w:r>
        <w:rPr/>
        <w:t xml:space="preserve"> A procurement built on RTX pricing will be rejected at compliance review or, worse, deployed and later found non-compliant.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 all capex below uses datacenter-class cards.</w:t>
      </w:r>
      <w:r>
        <w:rPr/>
        <w:t xml:space="preserve"> Our benchmark numbers came from consumer cards (RTX 4060 / 2050) — [derived] an </w:t>
      </w:r>
      <w:r>
        <w:rPr>
          <w:rStyle w:val="StrongEmphasis"/>
        </w:rPr>
        <w:t>L4 is roughly 1.5–2× an RTX 4060</w:t>
      </w:r>
      <w:r>
        <w:rPr/>
        <w:t xml:space="preserve"> for this workload, so the capacity figures in §1 are </w:t>
      </w:r>
      <w:r>
        <w:rPr>
          <w:rStyle w:val="StrongEmphasis"/>
        </w:rPr>
        <w:t>conservative</w:t>
      </w:r>
      <w:r>
        <w:rPr/>
        <w:t xml:space="preserve"> on L4, which is the direction we want an estimate to err.</w:t>
      </w:r>
    </w:p>
    <w:p>
      <w:pPr>
        <w:pStyle w:val="Heading3"/>
        <w:bidi w:val="0"/>
        <w:jc w:val="left"/>
        <w:rPr/>
      </w:pPr>
      <w:r>
        <w:rPr/>
        <w:t>2.2 [list price] Per-node hardware, India list — verify with an OEM before quoting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2417"/>
        <w:gridCol w:w="1232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Component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Spec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~₹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GPU × 2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 L4 24 GB (72 W, single-slot, no extra cooling)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5,00,000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 chassis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2U, dual Xeon Silver / EPYC, 24–32 cores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2,50,000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RAM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256 GB ECC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90,000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NVMe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× 3.84 TB, RAID 1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90,000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NIC, rails, PSU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 GbE redundant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40,000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Per GPU node</w:t>
            </w:r>
          </w:p>
        </w:tc>
        <w:tc>
          <w:tcPr>
            <w:tcW w:w="2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2 GPUs ⇒ ~2 lakh artisans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9,70,000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Amortised over 4 years: ₹20,200/month per node, or ₹10,100 per GPU per month.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Running costs per node: power (~450 W under load ⇒ 324 kWh/month at ₹8/unit ≈ </w:t>
      </w:r>
      <w:r>
        <w:rPr>
          <w:rStyle w:val="StrongEmphasis"/>
        </w:rPr>
        <w:t>₹2,600</w:t>
      </w:r>
      <w:r>
        <w:rPr/>
        <w:t>) + colocation 2U with redundant power and 1 Gbps commit (</w:t>
      </w:r>
      <w:r>
        <w:rPr>
          <w:rStyle w:val="StrongEmphasis"/>
        </w:rPr>
        <w:t>₹8,000–15,000/month</w:t>
      </w:r>
      <w:r>
        <w:rPr/>
        <w:t>).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All-in per GPU node: ≈ ₹32,000/month.</w:t>
      </w:r>
      <w:r>
        <w:rPr/>
        <w:t xml:space="preserve"> Serving ~2 lakh artisans ⇒ </w:t>
      </w:r>
      <w:r>
        <w:rPr>
          <w:rStyle w:val="StrongEmphasis"/>
        </w:rPr>
        <w:t>₹0.16 per artisan per month</w:t>
      </w:r>
      <w:r>
        <w:rPr/>
        <w:t xml:space="preserve"> for AI compute.</w:t>
      </w:r>
    </w:p>
    <w:p>
      <w:pPr>
        <w:pStyle w:val="Heading3"/>
        <w:bidi w:val="0"/>
        <w:jc w:val="left"/>
        <w:rPr/>
      </w:pPr>
      <w:r>
        <w:rPr/>
        <w:t>2.3 [derived] Capex by scale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7"/>
        <w:gridCol w:w="841"/>
        <w:gridCol w:w="831"/>
        <w:gridCol w:w="937"/>
        <w:gridCol w:w="764"/>
      </w:tblGrid>
      <w:tr>
        <w:trPr>
          <w:tblHeader w:val="true"/>
        </w:trPr>
        <w:tc>
          <w:tcPr>
            <w:tcW w:w="156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S1 Pilot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S2 State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S3 National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S4 Full TAM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GPU nodes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App/DB/cache nodes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Hardware capex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15 L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40 L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1.6 Cr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11 Cr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[derived] Amortised/month (4 yr)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31,000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83,000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3.3 L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23 L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 + power + bandwidth/month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20,000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1.2 L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4.5 L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32 L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 infra/month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51,000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2.0 L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7.8 L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55 L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Add for a government deployment, and these are not optional:</w:t>
      </w:r>
      <w:r>
        <w:rPr/>
        <w:t xml:space="preserve"> a second site for DR (~60% of primary), MeitY-empanelled cloud or a STQC-audited datacenter, and an annual security audit ([list price] ₹3–8 lakh).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Option B — Rent it (opex, cloud)</w:t>
      </w:r>
    </w:p>
    <w:p>
      <w:pPr>
        <w:pStyle w:val="TextBody"/>
        <w:bidi w:val="0"/>
        <w:spacing w:before="0" w:after="283"/>
        <w:jc w:val="left"/>
        <w:rPr/>
      </w:pPr>
      <w:r>
        <w:rPr/>
        <w:t>Right for the pilot, right for burst, and right until utilisation is provably sustained.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List prices, </w:t>
      </w:r>
      <w:r>
        <w:rPr>
          <w:rStyle w:val="SourceText"/>
        </w:rPr>
        <w:t>ap-south-1</w:t>
      </w:r>
      <w:r>
        <w:rPr/>
        <w:t xml:space="preserve"> / Indian regions — </w:t>
      </w:r>
      <w:r>
        <w:rPr>
          <w:rStyle w:val="StrongEmphasis"/>
        </w:rPr>
        <w:t>verify</w:t>
      </w:r>
      <w:r>
        <w:rPr/>
        <w:t xml:space="preserve">. Indian MeitY-empanelled alternatives (E2E Networks, Yotta, CtrlS, NxtGen) typically quote </w:t>
      </w:r>
      <w:r>
        <w:rPr>
          <w:rStyle w:val="StrongEmphasis"/>
        </w:rPr>
        <w:t>30–50% below hyperscaler list</w:t>
      </w:r>
      <w:r>
        <w:rPr/>
        <w:t xml:space="preserve"> and satisfy data-localisation procurement conditions — get quotes before assuming AWS pricing.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4"/>
        <w:gridCol w:w="841"/>
        <w:gridCol w:w="841"/>
        <w:gridCol w:w="1084"/>
      </w:tblGrid>
      <w:tr>
        <w:trPr>
          <w:tblHeader w:val="true"/>
        </w:trPr>
        <w:tc>
          <w:tcPr>
            <w:tcW w:w="217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Line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S1 Pilot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S2 State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S3 National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GPU (T4/L4, 1-yr reserved)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20,000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40,000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2.4 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 tier (stateless, autoscaled)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8,000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65,000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2.6 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 (managed, HA + replicas)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6,000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1.1 L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4.0 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2,000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12,000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45,000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 storage (</w:t>
            </w:r>
            <w:r>
              <w:rPr>
                <w:rStyle w:val="StrongEmphasis"/>
              </w:rPr>
              <w:t>R2</w:t>
            </w:r>
            <w:r>
              <w:rPr/>
              <w:t>)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46,000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1.85 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Egress / CDN (</w:t>
            </w:r>
            <w:r>
              <w:rPr>
                <w:rStyle w:val="StrongEmphasis"/>
              </w:rPr>
              <w:t>R2 = ₹0 egress</w:t>
            </w:r>
            <w:r>
              <w:rPr/>
              <w:t>)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1,700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1,700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20,000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Monitoring, logs, backups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3,000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25,000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90,000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Total/month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41,000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3.0 L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12.4 L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[derived] </w:t>
            </w:r>
            <w:r>
              <w:rPr>
                <w:rStyle w:val="StrongEmphasis"/>
              </w:rPr>
              <w:t>Per artisan/month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20.50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1.20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1.24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3.1 [derived] Buy vs rent — the crossover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7"/>
        <w:gridCol w:w="975"/>
        <w:gridCol w:w="939"/>
        <w:gridCol w:w="2099"/>
      </w:tblGrid>
      <w:tr>
        <w:trPr>
          <w:tblHeader w:val="true"/>
        </w:trPr>
        <w:tc>
          <w:tcPr>
            <w:tcW w:w="92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Cloud/month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Own/month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Verdict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S1 Pilot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41,000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51,000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Rent.</w:t>
            </w:r>
            <w:r>
              <w:rPr/>
              <w:t xml:space="preserve"> Utilisation is low and lumpy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S2 State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3.0 L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2.0 L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Own</w:t>
            </w:r>
            <w:r>
              <w:rPr/>
              <w:t xml:space="preserve"> — if the programme is committed ≥3 years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S3 National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12.4 L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7.8 L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Own the steady state, rent the peak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[derived] The honest recommendation: hybrid.</w:t>
      </w:r>
      <w:r>
        <w:rPr/>
        <w:t xml:space="preserve"> Own the baseline GPU capacity (utilisation is predictable and high), rent the burst. </w:t>
      </w:r>
      <w:r>
        <w:rPr>
          <w:rStyle w:val="StrongEmphasis"/>
        </w:rPr>
        <w:t>The enhancement queue is asynchronous by contract, so it tolerates preemption</w:t>
      </w:r>
      <w:r>
        <w:rPr/>
        <w:t xml:space="preserve"> — [list price] spot/preemptible GPU is </w:t>
      </w:r>
      <w:r>
        <w:rPr>
          <w:rStyle w:val="StrongEmphasis"/>
        </w:rPr>
        <w:t>60–70% below on-demand</w:t>
      </w:r>
      <w:r>
        <w:rPr/>
        <w:t xml:space="preserve"> and is </w:t>
      </w:r>
      <w:r>
        <w:rPr>
          <w:rStyle w:val="Emphasis"/>
        </w:rPr>
        <w:t>safe</w:t>
      </w:r>
      <w:r>
        <w:rPr/>
        <w:t xml:space="preserve"> for this workload specifically because </w:t>
      </w:r>
      <w:r>
        <w:rPr>
          <w:rStyle w:val="SourceText"/>
        </w:rPr>
        <w:t>ai/enhance/jobs.py</w:t>
      </w:r>
      <w:r>
        <w:rPr/>
        <w:t xml:space="preserve"> already treats a lost job as recoverable and rule 3 already guarantees a lost enhancement never costs the listing. </w:t>
      </w:r>
      <w:r>
        <w:rPr>
          <w:rStyle w:val="StrongEmphasis"/>
        </w:rPr>
        <w:t>An architectural decision taken for reliability turns out to unlock the cheapest compute tier available.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The lines that are bigger than the servers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At S3, infrastructure is ₹7.8–12.4 lakh/month. </w:t>
      </w:r>
      <w:r>
        <w:rPr>
          <w:rStyle w:val="StrongEmphasis"/>
        </w:rPr>
        <w:t>These three are larger.</w:t>
      </w:r>
    </w:p>
    <w:p>
      <w:pPr>
        <w:pStyle w:val="Heading3"/>
        <w:bidi w:val="0"/>
        <w:jc w:val="left"/>
        <w:rPr/>
      </w:pPr>
      <w:r>
        <w:rPr/>
        <w:t>4.1 [blocking] GeM order reconciliation — the largest cost in the entire programme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GeM has no order API.</w:t>
      </w:r>
      <w:r>
        <w:rPr/>
        <w:t xml:space="preserve"> Orders appear on the GeM seller dashboard and nowhere else, so a human reads it and marks the order in the admin console (</w:t>
      </w:r>
      <w:r>
        <w:rPr>
          <w:rStyle w:val="SourceText"/>
        </w:rPr>
        <w:t>/gem-recon</w:t>
      </w:r>
      <w:r>
        <w:rPr/>
        <w:t>).</w:t>
      </w:r>
    </w:p>
    <w:p>
      <w:pPr>
        <w:pStyle w:val="TextBody"/>
        <w:bidi w:val="0"/>
        <w:spacing w:before="0" w:after="283"/>
        <w:jc w:val="left"/>
        <w:rPr/>
      </w:pPr>
      <w:r>
        <w:rPr/>
        <w:t>[derived] Assume 25% of active artisans transact on GeM, and one coordinator handles 500 such artisans: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82"/>
        <w:gridCol w:w="1232"/>
        <w:gridCol w:w="1226"/>
      </w:tblGrid>
      <w:tr>
        <w:trPr>
          <w:tblHeader w:val="true"/>
        </w:trPr>
        <w:tc>
          <w:tcPr>
            <w:tcW w:w="248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S2 State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S3 National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GeM-active artisans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25,000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100,000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Coordinators needed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200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[list price] At ₹25,000/month each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12.5 L/month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50 L/month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Per year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1.5 Cr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6 Cr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[derived] A GeM order-notification API — one MoU, zero engineering on their side beyond what already exists — removes ₹6 crore a year of recurring public expenditure.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This is the single most valuable thing to put in front of a ministry panel.</w:t>
      </w:r>
      <w:r>
        <w:rPr/>
        <w:t xml:space="preserve"> It costs them nothing, it is entirely within their gift, and it converts a permanent operating expense into a webhook. We should ask for it in the room.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counter-argument, stated fairly:</w:t>
      </w:r>
      <w:r>
        <w:rPr/>
        <w:t xml:space="preserve"> those 200 coordinator posts are 200 rural jobs, and the same person also runs the Cluster Hub — quality check, packing, consolidated pickup. </w:t>
      </w:r>
      <w:r>
        <w:rPr>
          <w:rStyle w:val="StrongEmphasis"/>
        </w:rPr>
        <w:t>The role does not disappear if the API arrives; the reconciliation half of it does</w:t>
      </w:r>
      <w:r>
        <w:rPr/>
        <w:t>, which is the half that produces no value for anyone.</w:t>
      </w:r>
    </w:p>
    <w:p>
      <w:pPr>
        <w:pStyle w:val="Heading3"/>
        <w:bidi w:val="0"/>
        <w:jc w:val="left"/>
        <w:rPr/>
      </w:pPr>
      <w:r>
        <w:rPr/>
        <w:t>4.2 [open] ECO compliance — TCS and monthly GSTR-8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Because we become the ONDC Marketplace Seller Node, </w:t>
      </w:r>
      <w:r>
        <w:rPr>
          <w:rStyle w:val="StrongEmphasis"/>
        </w:rPr>
        <w:t>we</w:t>
      </w:r>
      <w:r>
        <w:rPr/>
        <w:t xml:space="preserve"> are the e-commerce operator. Per </w:t>
      </w:r>
      <w:r>
        <w:rPr>
          <w:rStyle w:val="StrongEmphasis"/>
        </w:rPr>
        <w:t>CBIC Circular 194/06/2023</w:t>
      </w:r>
      <w:r>
        <w:rPr/>
        <w:t xml:space="preserve">, where the supplier-side ECO is not itself the supplier, </w:t>
      </w:r>
      <w:r>
        <w:rPr>
          <w:rStyle w:val="StrongEmphasis"/>
        </w:rPr>
        <w:t>it carries the TCS liability</w:t>
      </w:r>
      <w:r>
        <w:rPr/>
        <w:t xml:space="preserve">. That means TCS collection at 0.5% CGST + 0.5% SGST on net taxable supplies, and </w:t>
      </w:r>
      <w:r>
        <w:rPr>
          <w:rStyle w:val="StrongEmphasis"/>
        </w:rPr>
        <w:t>monthly GSTR-8 filing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Compliance retainer: ₹40,000–₹1,00,000/month at S2, scaling to </w:t>
      </w:r>
      <w:r>
        <w:rPr>
          <w:rStyle w:val="StrongEmphasis"/>
        </w:rPr>
        <w:t>₹3–5 lakh/month at S3</w:t>
      </w:r>
      <w:r>
        <w:rPr/>
        <w:t xml:space="preserve"> plus reconciliation tooling. [derived] </w:t>
      </w:r>
      <w:r>
        <w:rPr>
          <w:rStyle w:val="StrongEmphasis"/>
        </w:rPr>
        <w:t>₹35–60 lakh a year at national scale.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This is the price of Tier A and it is worth it</w:t>
      </w:r>
      <w:r>
        <w:rPr/>
        <w:t xml:space="preserve"> — it is the mechanism by which an artisan with no GST registration can sell nationally. </w:t>
      </w:r>
      <w:r>
        <w:rPr>
          <w:rStyle w:val="StrongEmphasis"/>
        </w:rPr>
        <w:t>But it is a real, recurring, non-technical obligation and a costing that omits it is wrong.</w:t>
      </w:r>
    </w:p>
    <w:p>
      <w:pPr>
        <w:pStyle w:val="Heading3"/>
        <w:bidi w:val="0"/>
        <w:jc w:val="left"/>
        <w:rPr/>
      </w:pPr>
      <w:r>
        <w:rPr/>
        <w:t>4.3 [open] DPDP and security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64"/>
        <w:gridCol w:w="1276"/>
      </w:tblGrid>
      <w:tr>
        <w:trPr>
          <w:tblHeader w:val="true"/>
        </w:trPr>
        <w:tc>
          <w:tcPr>
            <w:tcW w:w="366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Line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[list price] Annual</w:t>
            </w:r>
          </w:p>
        </w:tc>
      </w:tr>
      <w:tr>
        <w:trPr/>
        <w:tc>
          <w:tcPr>
            <w:tcW w:w="3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Named Data Protection Officer (1 FTE at S3)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18–25 L</w:t>
            </w:r>
          </w:p>
        </w:tc>
      </w:tr>
      <w:tr>
        <w:trPr/>
        <w:tc>
          <w:tcPr>
            <w:tcW w:w="3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Consent-manager integration + audit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8–15 L</w:t>
            </w:r>
          </w:p>
        </w:tc>
      </w:tr>
      <w:tr>
        <w:trPr/>
        <w:tc>
          <w:tcPr>
            <w:tcW w:w="3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Annual security audit / VAPT (STQC or CERT-In empanelled)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3–8 L</w:t>
            </w:r>
          </w:p>
        </w:tc>
      </w:tr>
      <w:tr>
        <w:trPr/>
        <w:tc>
          <w:tcPr>
            <w:tcW w:w="3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Breach-response retainer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5–10 L</w:t>
            </w:r>
          </w:p>
        </w:tc>
      </w:tr>
      <w:tr>
        <w:trPr/>
        <w:tc>
          <w:tcPr>
            <w:tcW w:w="3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 at S3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35–58 L/year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Non-negotiable, not discretionary.</w:t>
      </w:r>
      <w:r>
        <w:rPr/>
        <w:t xml:space="preserve"> DPDP penalties reach </w:t>
      </w:r>
      <w:r>
        <w:rPr>
          <w:rStyle w:val="StrongEmphasis"/>
        </w:rPr>
        <w:t>₹250 crore</w:t>
      </w:r>
      <w:r>
        <w:rPr/>
        <w:t xml:space="preserve"> for serious violations and </w:t>
      </w:r>
      <w:r>
        <w:rPr>
          <w:rStyle w:val="StrongEmphasis"/>
        </w:rPr>
        <w:t>₹200 crore</w:t>
      </w:r>
      <w:r>
        <w:rPr/>
        <w:t xml:space="preserve"> for failure to notify a breach. [derived] </w:t>
      </w:r>
      <w:r>
        <w:rPr>
          <w:rStyle w:val="StrongEmphasis"/>
        </w:rPr>
        <w:t>The entire compliance budget is 0.2% of a single maximum penalty.</w:t>
      </w:r>
    </w:p>
    <w:p>
      <w:pPr>
        <w:pStyle w:val="Heading3"/>
        <w:bidi w:val="0"/>
        <w:jc w:val="left"/>
        <w:rPr/>
      </w:pPr>
      <w:r>
        <w:rPr/>
        <w:t>4.4 [derived] Engineering and support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93"/>
        <w:gridCol w:w="879"/>
        <w:gridCol w:w="1168"/>
      </w:tblGrid>
      <w:tr>
        <w:trPr>
          <w:tblHeader w:val="true"/>
        </w:trPr>
        <w:tc>
          <w:tcPr>
            <w:tcW w:w="289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S2 State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S3 National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Engineers (backend, app, ML, infra)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[list price] At ₹18 L/year loaded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90 L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2.16 Cr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Support / helpline (multilingual)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[list price] At ₹4.5 L/year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18 L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90 L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Total/year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1.08 Cr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3.06 Cr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[derived] Total cost of ownership — the number a ministry actually needs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8"/>
        <w:gridCol w:w="751"/>
        <w:gridCol w:w="920"/>
        <w:gridCol w:w="1061"/>
      </w:tblGrid>
      <w:tr>
        <w:trPr>
          <w:tblHeader w:val="true"/>
        </w:trPr>
        <w:tc>
          <w:tcPr>
            <w:tcW w:w="220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S1 Pilot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S2 State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S3 National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Artisans onboarded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2,000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2,50,000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10,00,000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Infrastructure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24 L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94 L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Marginal (LLM/ASR/storage), </w:t>
            </w:r>
            <w:r>
              <w:rPr>
                <w:rStyle w:val="StrongEmphasis"/>
              </w:rPr>
              <w:t>with Bhashini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0.6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65 L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2.6 Cr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 reconciliation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1.5 Cr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6.0 Cr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ECO compliance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12 L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50 L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DPDP + security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5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25 L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50 L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Engineering + support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60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1.08 Cr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3.06 Cr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 / YEAR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81 L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3.84 Cr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13.6 Cr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[derived] </w:t>
            </w:r>
            <w:r>
              <w:rPr>
                <w:rStyle w:val="StrongEmphasis"/>
              </w:rPr>
              <w:t>Per artisan / year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4,050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154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136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[derived] Per artisan / year, </w:t>
            </w:r>
            <w:r>
              <w:rPr>
                <w:rStyle w:val="StrongEmphasis"/>
              </w:rPr>
              <w:t>if GeM ships an order API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3,750</w:t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94</w:t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76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Read the last two rows together.</w:t>
      </w:r>
      <w:r>
        <w:rPr/>
        <w:t xml:space="preserve"> Cost per artisan </w:t>
      </w:r>
      <w:r>
        <w:rPr>
          <w:rStyle w:val="StrongEmphasis"/>
        </w:rPr>
        <w:t>falls by 96% from pilot to state scale</w:t>
      </w:r>
      <w:r>
        <w:rPr/>
        <w:t xml:space="preserve"> and then flattens — because the fixed engineering and compliance base is spread wider while the variable lines stay tiny. </w:t>
      </w:r>
      <w:r>
        <w:rPr>
          <w:rStyle w:val="StrongEmphasis"/>
        </w:rPr>
        <w:t>This system gets dramatically cheaper per head as it grows, which is exactly the property a national programme needs and exactly what per-image API pricing would have destroyed.</w:t>
      </w:r>
    </w:p>
    <w:p>
      <w:pPr>
        <w:pStyle w:val="Heading3"/>
        <w:bidi w:val="0"/>
        <w:jc w:val="left"/>
        <w:rPr/>
      </w:pPr>
      <w:r>
        <w:rPr/>
        <w:t>5.1 The comparison that frames it</w:t>
      </w:r>
    </w:p>
    <w:p>
      <w:pPr>
        <w:pStyle w:val="TextBody"/>
        <w:bidi w:val="0"/>
        <w:spacing w:before="0" w:after="283"/>
        <w:jc w:val="left"/>
        <w:rPr/>
      </w:pPr>
      <w:r>
        <w:rPr/>
        <w:t>[list price] Context figures — verify against current budget documents before quoting: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36"/>
        <w:gridCol w:w="1304"/>
      </w:tblGrid>
      <w:tr>
        <w:trPr>
          <w:tblHeader w:val="true"/>
        </w:trPr>
        <w:tc>
          <w:tcPr>
            <w:tcW w:w="363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Reference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Scale</w:t>
            </w:r>
          </w:p>
        </w:tc>
      </w:tr>
      <w:tr>
        <w:trPr/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PM Vishwakarma scheme outlay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~₹13,000 crore</w:t>
            </w:r>
          </w:p>
        </w:tc>
      </w:tr>
      <w:tr>
        <w:trPr/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[derived] This system, national, 10 lakh artisans, per year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13.6 crore</w:t>
            </w:r>
          </w:p>
        </w:tc>
      </w:tr>
      <w:tr>
        <w:trPr/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[derived] </w:t>
            </w:r>
            <w:r>
              <w:rPr>
                <w:rStyle w:val="StrongEmphasis"/>
              </w:rPr>
              <w:t>As a share of that outlay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≈ </w:t>
            </w:r>
            <w:r>
              <w:rPr>
                <w:rStyle w:val="StrongEmphasis"/>
              </w:rPr>
              <w:t>0.1%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[derived] One-tenth of one percent of an existing scheme's outlay digitises ten lakh artisans — permanently, with a catalog they own, on channels the government already runs.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Cost-reduction levers, ranked by rupees saved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ministry will ask how to spend less. This is the answer, in order.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1778"/>
        <w:gridCol w:w="1203"/>
        <w:gridCol w:w="1628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Lever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[derived] Annual saving at S3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Effort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Settle speech pricing</w:t>
            </w:r>
            <w:r>
              <w:rPr/>
              <w:t xml:space="preserve"> — Sarvam volume rate, or Bhashini free tier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18 Cr avoided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Two procurement calls. Swap surface is 2 functions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Self-host CV</w:t>
            </w:r>
            <w:r>
              <w:rPr/>
              <w:t xml:space="preserve"> (already decided) — vs a per-image API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17.6 Cr avoided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GeM order API MoU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6.0 Cr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ministry conversation, no code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Self-host the description LLM</w:t>
            </w:r>
            <w:r>
              <w:rPr/>
              <w:t xml:space="preserve"> past crossover (§6.1)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1.4 Cr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 weeks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Cloudflare R2 instead of S3</w:t>
            </w:r>
            <w:r>
              <w:rPr/>
              <w:t xml:space="preserve"> — zero egress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1.2 Cr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afternoon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Pipeline CPU/GPU separately</w:t>
            </w:r>
            <w:r>
              <w:rPr/>
              <w:t xml:space="preserve"> — 3.2× throughput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~₹25 L, and defers GPU purchases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refactor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BiRefNet-lite</w:t>
            </w:r>
            <w:r>
              <w:rPr/>
              <w:t xml:space="preserve"> — 1.47× on top, half the VRAM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~₹15 L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config flag. Already benchmarked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Spot/preemptible GPU for the enhance queue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60–70% of burst compute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Safe by existing design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Archive originals after 90 days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~₹10 L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lifecycle rule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Client-side downscale before upload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Artisan's own data cost, and our ingress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single highest-value unbuilt app item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Levers 1, 3 and 5 together are worth ₹25 crore a year and none of them is an engineering problem.</w:t>
      </w:r>
      <w:r>
        <w:rPr/>
        <w:t xml:space="preserve"> Two are conversations and one is a vendor choice. </w:t>
      </w:r>
      <w:r>
        <w:rPr>
          <w:rStyle w:val="StrongEmphasis"/>
        </w:rPr>
        <w:t>That is the costing insight worth saying out loud in the room.</w:t>
      </w:r>
    </w:p>
    <w:p>
      <w:pPr>
        <w:pStyle w:val="Heading3"/>
        <w:bidi w:val="0"/>
        <w:jc w:val="left"/>
        <w:rPr/>
      </w:pPr>
      <w:r>
        <w:rPr/>
        <w:t>6.1 [derived] The self-hosted-LLM crossover, worked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Description generation costs </w:t>
      </w:r>
      <w:r>
        <w:rPr>
          <w:rStyle w:val="StrongEmphasis"/>
        </w:rPr>
        <w:t>₹1.66/product</w:t>
      </w:r>
      <w:r>
        <w:rPr/>
        <w:t xml:space="preserve"> on a frontier API (Part A §3.2). A self-hosted open-weights model (an Indic-capable 7–12B, served on a GPU we already own) costs [derived] roughly </w:t>
      </w:r>
      <w:r>
        <w:rPr>
          <w:rStyle w:val="StrongEmphasis"/>
        </w:rPr>
        <w:t>₹0.05/product</w:t>
      </w:r>
      <w:r>
        <w:rPr/>
        <w:t xml:space="preserve"> in amortised compute, plus one dedicated GPU node at ₹32,000/month.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Crossover:  monthly_products × (₹1.66 − ₹0.05)  &gt;  ₹32,000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monthly_products &gt; 19,900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Past ~20,000 products a month — reached at roughly 6,700 active artisans — self-hosting the description model is cheaper.</w:t>
      </w:r>
      <w:r>
        <w:rPr/>
        <w:t xml:space="preserve"> S2 and S3 are both far past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caveat that decides whether to actually do it:</w:t>
      </w:r>
      <w:r>
        <w:rPr/>
        <w:t xml:space="preserve"> quality. EN + HI SEO descriptions plus structured field extraction is the hardest language task in the system, and a cheaper model that produces a rejected listing has saved nothing. </w:t>
      </w:r>
      <w:r>
        <w:rPr>
          <w:rStyle w:val="StrongEmphasis"/>
        </w:rPr>
        <w:t>The right sequencing is: keep the API until we have a held-out evaluation set from real listings, then migrate on measured quality, not on the crossover date.</w:t>
      </w:r>
      <w:r>
        <w:rPr/>
        <w:t xml:space="preserve"> [key] And an Indian open-weights model here is both the cheaper answer and the better political one on a government deployment — which is the honest argument for putting Sarvam on the slide </w:t>
      </w:r>
      <w:r>
        <w:rPr>
          <w:rStyle w:val="Emphasis"/>
        </w:rPr>
        <w:t>after</w:t>
      </w:r>
      <w:r>
        <w:rPr/>
        <w:t xml:space="preserve"> wiring it, not before (Part 0, A0.4).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Cost questions a judge will ask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 — "Your AI costs will explode when you scale."</w:t>
      </w:r>
      <w:r>
        <w:rPr/>
        <w:t xml:space="preserve"> [derived] No — they are sub-linear and we can show why. The model that runs on </w:t>
      </w:r>
      <w:r>
        <w:rPr>
          <w:rStyle w:val="StrongEmphasis"/>
        </w:rPr>
        <w:t>every</w:t>
      </w:r>
      <w:r>
        <w:rPr/>
        <w:t xml:space="preserve"> photograph is self-hosted, so its marginal cost is electricity: </w:t>
      </w:r>
      <w:r>
        <w:rPr>
          <w:rStyle w:val="StrongEmphasis"/>
        </w:rPr>
        <w:t>₹0.005 per photograph.</w:t>
      </w:r>
      <w:r>
        <w:rPr/>
        <w:t xml:space="preserve"> One GPU serves ~100,000 artisans. The per-image API alternative would cost </w:t>
      </w:r>
      <w:r>
        <w:rPr>
          <w:rStyle w:val="StrongEmphasis"/>
        </w:rPr>
        <w:t>₹1.76 per photograph — 345× more</w:t>
      </w:r>
      <w:r>
        <w:rPr/>
        <w:t xml:space="preserve"> — and that is the decision that determines whether this scales, not the model choice.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 — "What is the cheapest way to run this?"</w:t>
      </w:r>
      <w:r>
        <w:rPr/>
        <w:t xml:space="preserve"> Own the baseline GPUs, rent the burst on preemptible instances, Cloudflare R2 for storage and egress, Bhashini for speech, self-host the description model past ~20,000 products/month. [derived] That combination takes national cost from ~₹13.6 crore to </w:t>
      </w:r>
      <w:r>
        <w:rPr>
          <w:rStyle w:val="StrongEmphasis"/>
        </w:rPr>
        <w:t>~₹6 crore a year</w:t>
      </w:r>
      <w:r>
        <w:rPr/>
        <w:t xml:space="preserve"> — before the GeM API, which takes it to </w:t>
      </w:r>
      <w:r>
        <w:rPr>
          <w:rStyle w:val="StrongEmphasis"/>
        </w:rPr>
        <w:t>~₹5.5 crore.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 — "What if the government wants everything on Indian soil?"</w:t>
      </w:r>
      <w:r>
        <w:rPr/>
        <w:t xml:space="preserve"> It already almost is, and it makes us </w:t>
      </w:r>
      <w:r>
        <w:rPr>
          <w:rStyle w:val="Emphasis"/>
        </w:rPr>
        <w:t>cheaper</w:t>
      </w:r>
      <w:r>
        <w:rPr/>
        <w:t xml:space="preserve">, not dearer. Self-hosted CV runs anywhere we put it. Postgres, Redis and object storage go to a MeitY-empanelled Indian provider — [list price] typically </w:t>
      </w:r>
      <w:r>
        <w:rPr>
          <w:rStyle w:val="StrongEmphasis"/>
        </w:rPr>
        <w:t>30–50% below hyperscaler list.</w:t>
      </w:r>
      <w:r>
        <w:rPr/>
        <w:t xml:space="preserve"> The </w:t>
      </w:r>
      <w:r>
        <w:rPr>
          <w:rStyle w:val="StrongEmphasis"/>
        </w:rPr>
        <w:t>only</w:t>
      </w:r>
      <w:r>
        <w:rPr/>
        <w:t xml:space="preserve"> cross-border dependency is the LLM API, and §6.1 shows we should self-host it past 20,000 products/month anyway. </w:t>
      </w:r>
      <w:r>
        <w:rPr>
          <w:rStyle w:val="StrongEmphasis"/>
        </w:rPr>
        <w:t>Data localisation and cost reduction point the same direction here</w:t>
      </w:r>
      <w:r>
        <w:rPr/>
        <w:t>, which is unusual and worth saying.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 — "What happens if funding stops?"</w:t>
      </w:r>
      <w:r>
        <w:rPr/>
        <w:t xml:space="preserve"> [derived] The artisan's catalog is portable by design — products live in our DB and export to GeM Excel, ONDC, and platform payloads. </w:t>
      </w:r>
      <w:r>
        <w:rPr>
          <w:rStyle w:val="StrongEmphasis"/>
        </w:rPr>
        <w:t>The minimum survivable configuration is read-only serving of existing catalogs plus GeM export: one small GPU node and one app node, ~₹60,000/month.</w:t>
      </w:r>
      <w:r>
        <w:rPr/>
        <w:t xml:space="preserve"> New enhancement stops; nothing already published disappears. </w:t>
      </w:r>
      <w:r>
        <w:rPr>
          <w:rStyle w:val="StrongEmphasis"/>
        </w:rPr>
        <w:t>That is a deliberate property of the factory model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§2): </w:t>
      </w:r>
      <w:r>
        <w:rPr>
          <w:rStyle w:val="Emphasis"/>
        </w:rPr>
        <w:t>the catalog is ours, and edit once → all exports regenerate.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 — "Your per-artisan cost is ₹136. Prove it is not ₹1,360."</w:t>
      </w:r>
      <w:r>
        <w:rPr/>
        <w:t xml:space="preserve"> [derived] The number rests on three things, and only one is uncertain. </w:t>
      </w:r>
      <w:r>
        <w:rPr>
          <w:rStyle w:val="StrongEmphasis"/>
        </w:rPr>
        <w:t>GPU capacity is measured</w:t>
      </w:r>
      <w:r>
        <w:rPr/>
        <w:t xml:space="preserve"> (402 ms, 1615 MiB, on named hardware). </w:t>
      </w:r>
      <w:r>
        <w:rPr>
          <w:rStyle w:val="StrongEmphasis"/>
        </w:rPr>
        <w:t>Storage and egress are vendor list prices.</w:t>
      </w:r>
      <w:r>
        <w:rPr/>
        <w:t xml:space="preserve"> The uncertain one is </w:t>
      </w:r>
      <w:r>
        <w:rPr>
          <w:rStyle w:val="StrongEmphasis"/>
        </w:rPr>
        <w:t>ASR</w:t>
      </w:r>
      <w:r>
        <w:rPr/>
        <w:t xml:space="preserve"> — Bhashini free versus commercial is the difference between ₹136 and ₹316 per artisan-year, and it is </w:t>
      </w:r>
      <w:r>
        <w:rPr>
          <w:rStyle w:val="SourceText"/>
        </w:rPr>
        <w:t>docs/decisions.md</w:t>
      </w:r>
      <w:r>
        <w:rPr/>
        <w:t xml:space="preserve"> #5, still open. </w:t>
      </w:r>
      <w:r>
        <w:rPr>
          <w:rStyle w:val="StrongEmphasis"/>
        </w:rPr>
        <w:t>We have given you both numbers rather than the flattering one.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[do not] What must be verified before any of this is quoted in a procurement conversation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3948"/>
        <w:gridCol w:w="766"/>
      </w:tblGrid>
      <w:tr>
        <w:trPr>
          <w:tblHeader w:val="true"/>
        </w:trPr>
        <w:tc>
          <w:tcPr>
            <w:tcW w:w="2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[blocking] </w:t>
            </w:r>
            <w:r>
              <w:rPr>
                <w:rStyle w:val="StrongEmphasis"/>
              </w:rPr>
              <w:t>Bhashini commercial terms, rate limits, eligibility</w:t>
            </w:r>
            <w:r>
              <w:rPr/>
              <w:t xml:space="preserve"> — the single largest cost variable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[blocking] NVIDIA L4 / L40S India OEM quotes, and datacenter licensing confirmation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[blocking] MeitY-empanelled provider quotes (E2E, Yotta, CtrlS, NxtGen) vs hyperscaler list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[open] Current OpenRouter / Anthropic list prices — they move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[open] Cloudflare R2 India egress and any regional caveats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[open] GeM Vendor Assessment (~₹11,200) — </w:t>
            </w:r>
            <w:r>
              <w:rPr>
                <w:rStyle w:val="StrongEmphasis"/>
              </w:rPr>
              <w:t>are artisan OEMs exempt?</w:t>
            </w:r>
            <w:r>
              <w:rPr/>
              <w:t xml:space="preserve"> In writing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[open] ONDC network participant fees and any transaction levy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[open] Coordinator salary norms under existing cluster schemes — §4.1 rests on ₹25,000/month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[open] PM Vishwakarma outlay, from the current budget document, for the §5.1 comparison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Same rule as </w:t>
      </w:r>
      <w:r>
        <w:rPr>
          <w:rStyle w:val="SourceText"/>
        </w:rPr>
        <w:t>research/pricing/</w:t>
      </w:r>
      <w:r>
        <w:rPr/>
        <w:t xml:space="preserve">: </w:t>
      </w:r>
      <w:r>
        <w:rPr>
          <w:rStyle w:val="StrongEmphasis"/>
        </w:rPr>
        <w:t>a dated vendor quote is research. A remembered price is a guess.</w:t>
      </w:r>
      <w:r>
        <w:rPr/>
        <w:t xml:space="preserve"> Every [list price] in this document is a remembered price until someone replaces it with a quote.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09-costing-buildout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