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Part 7 — Impact, adoption, and the questions we would struggle with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Q7.1 — "No field agents, no home visits. Then who shows a 52-year-old weaver how to open your app the first time?"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the adoption question and our answer is a constraint, not a plan — so be honest that it is a bet, and name what the bet rests on.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constraint, and it is deliberate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§2, three hard NOs): </w:t>
      </w:r>
      <w:r>
        <w:rPr>
          <w:rStyle w:val="StrongEmphasis"/>
        </w:rPr>
        <w:t>no field agents, no human visits</w:t>
      </w:r>
      <w:r>
        <w:rPr/>
        <w:t xml:space="preserve"> — because a solution requiring a visit breaks the PS's own words, </w:t>
      </w:r>
      <w:r>
        <w:rPr>
          <w:rStyle w:val="Emphasis"/>
        </w:rPr>
        <w:t>"without requiring advanced technical knowledge."</w:t>
      </w:r>
      <w:r>
        <w:rPr/>
        <w:t xml:space="preserve"> If the app only works when someone sits beside them, we have built a training programme with a login screen.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 the first run has to carry itself, and that is what the eight-screen onboarding is for:</w:t>
      </w:r>
      <w:r>
        <w:rPr/>
        <w:t xml:space="preserve"> language tiles that </w:t>
      </w:r>
      <w:r>
        <w:rPr>
          <w:rStyle w:val="StrongEmphasis"/>
        </w:rPr>
        <w:t>speak their own name on tap</w:t>
      </w:r>
      <w:r>
        <w:rPr/>
        <w:t xml:space="preserve">, a spoken consent notice, and </w:t>
      </w:r>
      <w:r>
        <w:rPr>
          <w:rStyle w:val="StrongEmphasis"/>
        </w:rPr>
        <w:t>the camera by screen eight</w:t>
      </w:r>
      <w:r>
        <w:rPr/>
        <w:t xml:space="preserve"> — no tour, no dashboard, no feature list. The very first thing that happens is the thing they came for.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camera is the part that genuinely needs no teaching.</w:t>
      </w:r>
      <w:r>
        <w:rPr/>
        <w:t xml:space="preserve"> Red ring, shutter greyed out and dead. Green ring, shutter glows. Hold green one second, it fires itself. </w:t>
      </w:r>
      <w:r>
        <w:rPr>
          <w:rStyle w:val="StrongEmphasis"/>
        </w:rPr>
        <w:t>They move until the button lights up.</w:t>
      </w:r>
      <w:r>
        <w:rPr/>
        <w:t xml:space="preserve"> No instruction, no literacy, no helper.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exists behind it when that is not enough: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/help</w:t>
      </w:r>
      <w:r>
        <w:rPr>
          <w:rStyle w:val="StrongEmphasis"/>
        </w:rPr>
        <w:t xml:space="preserve"> — one button, one callback request to a cluster coordinator.</w:t>
      </w:r>
      <w:r>
        <w:rPr/>
        <w:t xml:space="preserve"> Remote, a phone call, never a visit.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admin console</w:t>
      </w:r>
      <w:r>
        <w:rPr/>
        <w:t xml:space="preserve"> is built for exactly this: assisted onboarding support, remote (</w:t>
      </w:r>
      <w:r>
        <w:rPr>
          <w:rStyle w:val="SourceText"/>
        </w:rPr>
        <w:t>docs/Application-Architecture.md</w:t>
      </w:r>
      <w:r>
        <w:rPr/>
        <w:t xml:space="preserve"> §9).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Existing human infrastructure we did not have to build:</w:t>
      </w:r>
      <w:r>
        <w:rPr/>
        <w:t xml:space="preserve"> ~5.4 lakh </w:t>
      </w:r>
      <w:r>
        <w:rPr>
          <w:rStyle w:val="StrongEmphasis"/>
        </w:rPr>
        <w:t>CSC Village Level Entrepreneurs</w:t>
      </w:r>
      <w:r>
        <w:rPr/>
        <w:t xml:space="preserve">, ≈4.35 lakh of them in gram panchayats, plus cluster coordinators at Common Facility Centres. </w:t>
      </w:r>
      <w:r>
        <w:rPr>
          <w:rStyle w:val="StrongEmphasis"/>
        </w:rPr>
        <w:t>These people already exist, are already funded, and already sit where our users are.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Breaks when.</w:t>
      </w:r>
      <w:r>
        <w:rPr/>
        <w:t xml:space="preserve"> The bet is that a spoken, gated, three-tap flow clears the first-run barrier without a person present. </w:t>
      </w:r>
      <w:r>
        <w:rPr>
          <w:rStyle w:val="StrongEmphasis"/>
        </w:rPr>
        <w:t>We have not tested it with a single artisan.</w:t>
      </w:r>
      <w:r>
        <w:rPr/>
        <w:t xml:space="preserve"> That is the largest untested assumption in the project and it is not a technical one. One afternoon in one cluster would tell us more than another week of code.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Q7.2 — "Your impact goal is higher income. How would you prove it, and what if you are wrong?"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Give the measurement design, then state the falsification condition. A team that names what would prove it wrong is more credible than one that only names what would prove it right.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can measure honestly:</w:t>
      </w:r>
    </w:p>
    <w:tbl>
      <w:tblPr>
        <w:tblW w:w="112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6"/>
        <w:gridCol w:w="2086"/>
        <w:gridCol w:w="5926"/>
      </w:tblGrid>
      <w:tr>
        <w:trPr>
          <w:tblHeader w:val="true"/>
        </w:trPr>
        <w:tc>
          <w:tcPr>
            <w:tcW w:w="32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Signal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Source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Honest?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Listings created per artisan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Ours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but it is an output, not an outcome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Orders per artisan per channel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Order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Yes. </w:t>
            </w:r>
            <w:r>
              <w:rPr>
                <w:rStyle w:val="StrongEmphasis"/>
              </w:rPr>
              <w:t>The real number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Realised price vs the computed floor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floor_price</w:t>
            </w:r>
            <w:r>
              <w:rPr/>
              <w:t xml:space="preserve"> vs </w:t>
            </w:r>
            <w:r>
              <w:rPr>
                <w:rStyle w:val="SourceText"/>
              </w:rPr>
              <w:t>price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Yes — </w:t>
            </w:r>
            <w:r>
              <w:rPr>
                <w:rStyle w:val="StrongEmphasis"/>
              </w:rPr>
              <w:t>directly measures whether we stopped a loss-making sale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artisan_confirmed_payment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"Paisa aaya?" tap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settlement reality, not the marketplace's promise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Total annual income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5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No. We cannot see their bank account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 the defensible claim is narrower than the PS's phrasing and we should use the narrow one:</w:t>
      </w:r>
      <w:r>
        <w:rPr/>
        <w:t xml:space="preserve"> we can prove </w:t>
      </w:r>
      <w:r>
        <w:rPr>
          <w:rStyle w:val="StrongEmphasis"/>
        </w:rPr>
        <w:t>channel access created</w:t>
      </w:r>
      <w:r>
        <w:rPr/>
        <w:t xml:space="preserve">, </w:t>
      </w:r>
      <w:r>
        <w:rPr>
          <w:rStyle w:val="StrongEmphasis"/>
        </w:rPr>
        <w:t>orders received</w:t>
      </w:r>
      <w:r>
        <w:rPr/>
        <w:t xml:space="preserve">, and </w:t>
      </w:r>
      <w:r>
        <w:rPr>
          <w:rStyle w:val="StrongEmphasis"/>
        </w:rPr>
        <w:t>sales prevented below cost</w:t>
      </w:r>
      <w:r>
        <w:rPr/>
        <w:t>. We cannot prove total household income, and any team claiming they can is not counting the middleman sales that never touch a platform.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falsification condition, stated up front:</w:t>
      </w:r>
      <w:r>
        <w:rPr/>
        <w:t xml:space="preserve"> if listings per artisan rise and </w:t>
      </w:r>
      <w:r>
        <w:rPr>
          <w:rStyle w:val="StrongEmphasis"/>
        </w:rPr>
        <w:t>orders per artisan stay flat</w:t>
      </w:r>
      <w:r>
        <w:rPr/>
        <w:t>, then cataloging was not the bottleneck and our thesis is wrong. That number is in the schema from day one specifically so it can embarrass us.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counterfactual problem, conceded:</w:t>
      </w:r>
      <w:r>
        <w:rPr/>
        <w:t xml:space="preserve"> an artisan who adopts our app is already more motivated than one who does not. Any income difference is partly selection. </w:t>
      </w:r>
      <w:r>
        <w:rPr>
          <w:rStyle w:val="StrongEmphasis"/>
        </w:rPr>
        <w:t>The only clean answer is a staggered rollout across comparable clusters</w:t>
      </w:r>
      <w:r>
        <w:rPr/>
        <w:t xml:space="preserve"> — cluster A onboards in month 1, cluster B in month 4 — which a ministry pilot can actually do and a hackathon cannot.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Q7.3 — "Who pays for this? Your slide says government support, white-label licensing and marketplace. Which one is real?"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Answer the constraint first, because it is the part that binds.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hard constraint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§2): </w:t>
      </w:r>
      <w:r>
        <w:rPr>
          <w:rStyle w:val="StrongEmphasis"/>
        </w:rPr>
        <w:t>we never charge artisans. Anything.</w:t>
      </w:r>
      <w:r>
        <w:rPr/>
        <w:t xml:space="preserve"> That is a locked no, and it removes the obvious revenue line.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Which leaves, in order of realism for a government deployment: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Government-funded, per-artisan-onboarded.</w:t>
      </w:r>
      <w:r>
        <w:rPr/>
        <w:t xml:space="preserve"> The natural fit for MoSJE / DC-Handicrafts / PM Vishwakarma, and it is the only model where incentives align — the ministry wants artisans digitised, we are paid to digitise them. </w:t>
      </w:r>
      <w:r>
        <w:rPr>
          <w:rStyle w:val="StrongEmphasis"/>
        </w:rPr>
        <w:t>Costing document gives the per-artisan figure</w:t>
      </w:r>
      <w:r>
        <w:rPr/>
        <w:t xml:space="preserve">, and it is small enough that this is a rounding error against existing scheme outlays.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White-label to state handicraft boards and cooperatives.</w:t>
      </w:r>
      <w:r>
        <w:rPr/>
        <w:t xml:space="preserve"> Odisha, Gujarat, UP each run their own emporium and cluster programmes. Same code, per-tenant, and multi-tenancy is already in the design.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Marketplace commission on our own surface only</w:t>
      </w:r>
      <w:r>
        <w:rPr/>
        <w:t xml:space="preserve"> — never on GeM or ONDC, where the artisan's sale is theirs.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uncomfortable honest note:</w:t>
      </w:r>
      <w:r>
        <w:rPr/>
        <w:t xml:space="preserve"> if the government funds it and then stops, the running cost falls on whoever holds the servers. That is why the costing document's most important number is not the total — it is </w:t>
      </w:r>
      <w:r>
        <w:rPr>
          <w:rStyle w:val="StrongEmphasis"/>
        </w:rPr>
        <w:t>cost per artisan per year</w:t>
      </w:r>
      <w:r>
        <w:rPr/>
        <w:t>, and why every cost-reduction lever in it matters.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Q7.4 — "Environmental benefit through reduced travel. Is that a real claim or a slide filler?"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Directionally true, unquantified, and I would not lead with it.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mechanism is real: an artisan who sells year-round from a phone travels less to periodic fairs and melas, and </w:t>
      </w:r>
      <w:r>
        <w:rPr>
          <w:rStyle w:val="StrongEmphasis"/>
        </w:rPr>
        <w:t>the Cluster Hub consolidates fifty rural courier pickups into one stop</w:t>
      </w:r>
      <w:r>
        <w:rPr/>
        <w:t xml:space="preserve"> — that second one is a genuine, countable reduction in vehicle-kilometres.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But we have measured nothing</w:t>
      </w:r>
      <w:r>
        <w:rPr/>
        <w:t xml:space="preserve">, and there is an offsetting cost we do not currently count: parcel shipping for individual online orders, which fair-based selling does not incur. </w:t>
      </w:r>
      <w:r>
        <w:rPr>
          <w:rStyle w:val="StrongEmphasis"/>
        </w:rPr>
        <w:t>A claim that ignores its own counter-term is not a claim.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Keep it on the slide, phrase it as the hub consolidation</w:t>
      </w:r>
      <w:r>
        <w:rPr/>
        <w:t xml:space="preserve"> — that one survives scrutiny. Drop the general travel-emissions framing.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Q7.5 — "Return to origin. A buyer refuses delivery. Who eats the cost?"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the question that quietly decides whether the artisan is better or worse off, and it deserves a straight answer.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decision:</w:t>
      </w:r>
      <w:r>
        <w:rPr/>
        <w:t xml:space="preserve"> </w:t>
      </w:r>
      <w:r>
        <w:rPr>
          <w:rStyle w:val="StrongEmphasis"/>
        </w:rPr>
        <w:t>prepaid only at launch.</w:t>
      </w:r>
      <w:r>
        <w:rPr/>
        <w:t xml:space="preserve"> COD is huge in India and carries huge RTO risk, and </w:t>
      </w:r>
      <w:r>
        <w:rPr>
          <w:rStyle w:val="StrongEmphasis"/>
        </w:rPr>
        <w:t>artisans cannot absorb return-to-origin costs.</w:t>
      </w:r>
      <w:r>
        <w:rPr/>
        <w:t xml:space="preserve"> One refused COD parcel can erase the margin on five sales.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rule that follows:</w:t>
      </w:r>
      <w:r>
        <w:rPr/>
        <w:t xml:space="preserve"> return-shipping liability is </w:t>
      </w:r>
      <w:r>
        <w:rPr>
          <w:rStyle w:val="StrongEmphasis"/>
        </w:rPr>
        <w:t>defined explicitly per channel and shown to the artisan BEFORE they list — never a surprise.</w:t>
      </w:r>
      <w:r>
        <w:rPr/>
        <w:t xml:space="preserve"> Also enforced before listing: </w:t>
      </w:r>
      <w:r>
        <w:rPr>
          <w:rStyle w:val="StrongEmphasis"/>
        </w:rPr>
        <w:t>pincode serviceability.</w:t>
      </w:r>
      <w:r>
        <w:rPr/>
        <w:t xml:space="preserve"> If their pincode is not serviceable, we block self-ship channels and route to the Cluster Hub only. </w:t>
      </w:r>
      <w:r>
        <w:rPr>
          <w:rStyle w:val="StrongEmphasis"/>
        </w:rPr>
        <w:t>Discovering that after a sale is a disaster</w:t>
      </w:r>
      <w:r>
        <w:rPr/>
        <w:t>, and it is why pincode is collected on onboarding screen 6 rather than at checkout.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Who inspects a returned item?</w:t>
      </w:r>
      <w:r>
        <w:rPr/>
        <w:t xml:space="preserve"> The Cluster Hub. </w:t>
      </w:r>
      <w:r>
        <w:rPr>
          <w:rStyle w:val="StrongEmphasis"/>
        </w:rPr>
        <w:t>We track RTO rate per artisan and per category</w:t>
      </w:r>
      <w:r>
        <w:rPr/>
        <w:t>, because it is the metric that predicts whether a category is viable online at all.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Q7.6 — "You have four weeks. What are you cutting?"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Show the build order, and show that the cut line was drawn before the pressure arrived.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Phases 1–6 are the defensible core</w:t>
      </w:r>
      <w:r>
        <w:rPr/>
        <w:t>, and each phase ends in something demoable with nothing built that a later phase rewrites:</w:t>
      </w:r>
    </w:p>
    <w:tbl>
      <w:tblPr>
        <w:tblW w:w="91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"/>
        <w:gridCol w:w="4576"/>
        <w:gridCol w:w="3976"/>
      </w:tblGrid>
      <w:tr>
        <w:trPr>
          <w:tblHeader w:val="true"/>
        </w:trPr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Phase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Ships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Proves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Onboarding, camera gate, resumable upload, schema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 artisan can sign up and take a good photo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ai/enhance</w:t>
            </w:r>
            <w:r>
              <w:rPr/>
              <w:t xml:space="preserve"> real + colour lock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main image is marketplace-grade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Bhashini ASR/TTS + </w:t>
            </w:r>
            <w:r>
              <w:rPr>
                <w:rStyle w:val="SourceText"/>
              </w:rPr>
              <w:t>ai/catalog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PS feature 2 done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ai/price</w:t>
            </w:r>
            <w:r>
              <w:rPr/>
              <w:t xml:space="preserve"> cost-up + floor + GeM discount math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PS feature 3 done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Marketplace SSR + </w:t>
            </w:r>
            <w:r>
              <w:rPr>
                <w:rStyle w:val="SourceText"/>
              </w:rPr>
              <w:t>/publish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First real one-tap listing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4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ONDC MSN on staging + adapter</w:t>
            </w:r>
          </w:p>
        </w:tc>
        <w:tc>
          <w:tcPr>
            <w:tcW w:w="3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Tier A complete. The USP is real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Phases 11 and 12 — the guided browser with autofill, and generative secondary images — are upside. If either slips, nothing in the PS goes unanswered.</w:t>
      </w:r>
      <w:r>
        <w:rPr/>
        <w:t xml:space="preserve"> That sentence is in </w:t>
      </w:r>
      <w:r>
        <w:rPr>
          <w:rStyle w:val="SourceText"/>
        </w:rPr>
        <w:t>docs/Application-Architecture.md</w:t>
      </w:r>
      <w:r>
        <w:rPr/>
        <w:t xml:space="preserve"> §11, written before the deadline pressure, which is the only time a cut line means anything.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generative feature specifically is scoped as what it is:</w:t>
      </w:r>
      <w:r>
        <w:rPr/>
        <w:t xml:space="preserve"> </w:t>
      </w:r>
      <w:r>
        <w:rPr>
          <w:rStyle w:val="Emphasis"/>
        </w:rPr>
        <w:t>"a demo weapon, not a product foundation. 20 seconds on stage. Build the boring pipeline properly."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pBdr>
          <w:bottom w:val="single" w:sz="12" w:space="4" w:color="16365C"/>
        </w:pBdr>
        <w:bidi w:val="0"/>
        <w:jc w:val="left"/>
        <w:rPr/>
      </w:pPr>
      <w:r>
        <w:rPr/>
        <w:t>The five questions we would struggle with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Written down so nobody is surprised on stage. </w:t>
      </w:r>
      <w:r>
        <w:rPr>
          <w:rStyle w:val="StrongEmphasis"/>
        </w:rPr>
        <w:t>Each one has a real answer that is a concession.</w:t>
      </w:r>
    </w:p>
    <w:p>
      <w:pPr>
        <w:pStyle w:val="Heading3"/>
        <w:bidi w:val="0"/>
        <w:jc w:val="left"/>
        <w:rPr/>
      </w:pPr>
      <w:r>
        <w:rPr/>
        <w:t>1. "Have you put this in front of a single artisan?"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No.</w:t>
      </w:r>
      <w:r>
        <w:rPr/>
        <w:t xml:space="preserve"> Every threshold is calibrated on </w:t>
      </w:r>
      <w:r>
        <w:rPr>
          <w:rStyle w:val="StrongEmphasis"/>
        </w:rPr>
        <w:t>web-sourced</w:t>
      </w:r>
      <w:r>
        <w:rPr/>
        <w:t xml:space="preserve"> fixtures, not photographs taken by artisans on ₹7,000 phones in Indian light. Our own </w:t>
      </w:r>
      <w:r>
        <w:rPr>
          <w:rStyle w:val="SourceText"/>
        </w:rPr>
        <w:t>research/RESULTS.md</w:t>
      </w:r>
      <w:r>
        <w:rPr/>
        <w:t xml:space="preserve"> says the fixture set is "too web-sourced." </w:t>
      </w:r>
      <w:r>
        <w:rPr>
          <w:rStyle w:val="StrongEmphasis"/>
        </w:rPr>
        <w:t>This is the honest ceiling on every number in Part 2</w:t>
      </w:r>
      <w:r>
        <w:rPr/>
        <w:t>, and no amount of further engineering removes it.</w:t>
      </w:r>
    </w:p>
    <w:p>
      <w:pPr>
        <w:pStyle w:val="Heading3"/>
        <w:bidi w:val="0"/>
        <w:jc w:val="left"/>
        <w:rPr/>
      </w:pPr>
      <w:r>
        <w:rPr/>
        <w:t>2. "Your slide says ML pricing and your code has none."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Concede immediately, explain that arithmetic is the defensible choice with no training data, and </w:t>
      </w:r>
      <w:r>
        <w:rPr>
          <w:rStyle w:val="StrongEmphasis"/>
        </w:rPr>
        <w:t>fix the slide before the presentation</w:t>
      </w:r>
      <w:r>
        <w:rPr/>
        <w:t xml:space="preserve"> (Part 0, A0.1). If the panel finds it first, everything else we say gets re-read as marketing.</w:t>
      </w:r>
    </w:p>
    <w:p>
      <w:pPr>
        <w:pStyle w:val="Heading3"/>
        <w:bidi w:val="0"/>
        <w:jc w:val="left"/>
        <w:rPr/>
      </w:pPr>
      <w:r>
        <w:rPr/>
        <w:t>3. "Show me a live listing on GeM or Amazon."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We cannot.</w:t>
      </w:r>
      <w:r>
        <w:rPr/>
        <w:t xml:space="preserve"> GeM has no API and we have </w:t>
      </w:r>
      <w:r>
        <w:rPr>
          <w:rStyle w:val="StrongEmphasis"/>
        </w:rPr>
        <w:t>zero real category templates</w:t>
      </w:r>
      <w:r>
        <w:rPr/>
        <w:t xml:space="preserve">. Amazon's SP-API </w:t>
      </w:r>
      <w:r>
        <w:rPr>
          <w:rStyle w:val="SourceText"/>
        </w:rPr>
        <w:t>PUT</w:t>
      </w:r>
      <w:r>
        <w:rPr/>
        <w:t xml:space="preserve"> is unimplemented, public-app publication requires Amazon review that is not achievable in this timeframe, and public apps are capped at 25 seller authorisations until then. </w:t>
      </w:r>
      <w:r>
        <w:rPr>
          <w:rStyle w:val="StrongEmphasis"/>
        </w:rPr>
        <w:t>We can show our own marketplace end to end</w:t>
      </w:r>
      <w:r>
        <w:rPr/>
        <w:t>, and we should offer that proactively rather than be walked into the gap.</w:t>
      </w:r>
    </w:p>
    <w:p>
      <w:pPr>
        <w:pStyle w:val="Heading3"/>
        <w:bidi w:val="0"/>
        <w:jc w:val="left"/>
        <w:rPr/>
      </w:pPr>
      <w:r>
        <w:rPr/>
        <w:t>4. "Prove your app increases income."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We can prove orders, channel access, and losses prevented at the floor. </w:t>
      </w:r>
      <w:r>
        <w:rPr>
          <w:rStyle w:val="StrongEmphasis"/>
        </w:rPr>
        <w:t>We cannot prove income</w:t>
      </w:r>
      <w:r>
        <w:rPr/>
        <w:t xml:space="preserve"> — we cannot see their bank account, and middleman sales never touch a platform. Only a staggered ministry pilot answers this properly.</w:t>
      </w:r>
    </w:p>
    <w:p>
      <w:pPr>
        <w:pStyle w:val="Heading3"/>
        <w:bidi w:val="0"/>
        <w:jc w:val="left"/>
        <w:rPr/>
      </w:pPr>
      <w:r>
        <w:rPr/>
        <w:t>5. "What if listing was never the bottleneck?"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honest answer is that IndiaHandmade's 0.1% is </w:t>
      </w:r>
      <w:r>
        <w:rPr>
          <w:rStyle w:val="StrongEmphasis"/>
        </w:rPr>
        <w:t>consistent</w:t>
      </w:r>
      <w:r>
        <w:rPr/>
        <w:t xml:space="preserve"> with our thesis and does not </w:t>
      </w:r>
      <w:r>
        <w:rPr>
          <w:rStyle w:val="StrongEmphasis"/>
        </w:rPr>
        <w:t>prove</w:t>
      </w:r>
      <w:r>
        <w:rPr/>
        <w:t xml:space="preserve"> it. If listings rise and orders stay flat, we automated the wrong half. We built the metric that would tell us, and we would rather find out than not.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The pattern in all five: we know exactly where the edge is.</w:t>
      </w:r>
      <w:r>
        <w:rPr/>
        <w:t xml:space="preserve"> A team that can point at its own edge is more trustworthy than one that claims not to have one — and on a government problem statement, trustworthiness is the thing being procured.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07-impact-and-hardest-questions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