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Judge Q&amp;A pack — SIH 2026 · PS 26090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Team RUBIXCUBE · AI-Driven Market Linkage and Smart Cataloging for Marginalized Artisans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Every answer is written from the repository as it stands on </w:t>
      </w:r>
      <w:r>
        <w:rPr>
          <w:rStyle w:val="StrongEmphasis"/>
        </w:rPr>
        <w:t>2026-09-03</w:t>
      </w:r>
      <w:r>
        <w:rPr/>
        <w:t xml:space="preserve">, not from the slides. Where the slides and the code disagree, </w:t>
      </w:r>
      <w:r>
        <w:rPr>
          <w:rStyle w:val="StrongEmphasis"/>
        </w:rPr>
        <w:t>the code wins and Part 0 records the disagreement.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The documents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3509"/>
        <w:gridCol w:w="7604"/>
      </w:tblGrid>
      <w:tr>
        <w:trPr>
          <w:tblHeader w:val="true"/>
        </w:trPr>
        <w:tc>
          <w:tcPr>
            <w:tcW w:w="22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File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What it covers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00-slide-audit.md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Read first.</w:t>
            </w:r>
            <w:r>
              <w:rPr/>
              <w:t xml:space="preserve"> Nine things on the submitted PPT that are wrong, unbuilt, or contradicted by our own code — with the corrected wording for each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01-positioning-and-app-ux.md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 the app exists against IndiaHandmade · demand-side gap · Capacitor · voice-first · shared phones · online-first · app size · our worst screen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02-feature1-image.md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PS Feature 1 · BiRefNet benchmark · the 591-fixture calibration · the missing colour stage · latency profile · single-GPU capacity · enhancement vs misrepresentation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03-feature2-voice.md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PS Feature 2 · the unbuilt vision pre-fill · Bhashini risk · dialects · SEO claim · cost-DoS · what leaves the country · prompt injection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04-feature3-pricing.md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PS Feature 3 · why there is no ML model · the floor as ethical core · self-reported labour hours · thin comparables · GeM discount math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05-channels-and-linkage.md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"one tap" really means · the 10,700-category GeM story · GST Notification 34/2023 · ONDC MSN · autofill legality · the GeM order gap · inventory races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06-scalability-and-privacy.md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breaks first, in order · demo-day surge math · multi-tenancy · booleans-only storage · DPDP dates · observability · QC · counterfeits · blockchain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07-impact-and-hardest-questions.md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Adoption without field agents · proving income · who pays · RTO · the cut line · </w:t>
            </w:r>
            <w:r>
              <w:rPr>
                <w:rStyle w:val="StrongEmphasis"/>
              </w:rPr>
              <w:t>the five questions we would struggle with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08-costing-unit-economics.md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Costing A</w:t>
            </w:r>
            <w:r>
              <w:rPr/>
              <w:t xml:space="preserve"> — measured basis · workload model · per-product marginal cost · GPU vs per-image API · the ASR variable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09-costing-buildout.md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Costing B</w:t>
            </w:r>
            <w:r>
              <w:rPr/>
              <w:t xml:space="preserve"> — four deployment scales · buy vs rent · the lines bigger than the servers · TCO · ten cost-reduction levers · procurement verify list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Each is also generated as </w:t>
      </w:r>
      <w:r>
        <w:rPr>
          <w:rStyle w:val="SourceText"/>
        </w:rPr>
        <w:t>.docx</w:t>
      </w:r>
      <w:r>
        <w:rPr/>
        <w:t xml:space="preserve"> and </w:t>
      </w:r>
      <w:r>
        <w:rPr>
          <w:rStyle w:val="SourceText"/>
        </w:rPr>
        <w:t>.pdf</w:t>
      </w:r>
      <w:r>
        <w:rPr/>
        <w:t xml:space="preserve"> in this folder.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Answer format</w:t>
      </w:r>
    </w:p>
    <w:p>
      <w:pPr>
        <w:pStyle w:val="TextBody"/>
        <w:bidi w:val="0"/>
        <w:spacing w:before="0" w:after="283"/>
        <w:jc w:val="left"/>
        <w:rPr/>
      </w:pPr>
      <w:r>
        <w:rPr/>
        <w:t>Every question follows the same four beats, so an answer can be given under pressure without losing the thread: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Think</w:t>
      </w:r>
      <w:r>
        <w:rPr/>
        <w:t xml:space="preserve"> — the reasoning, out loud, before the answer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Today</w:t>
      </w:r>
      <w:r>
        <w:rPr/>
        <w:t xml:space="preserve"> — what the code actually does, cited by file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At scale</w:t>
      </w:r>
      <w:r>
        <w:rPr/>
        <w:t xml:space="preserve"> — what changes, and what it costs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Breaks when</w:t>
      </w:r>
      <w:r>
        <w:rPr/>
        <w:t xml:space="preserve"> — the honest failure condition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The three numbers to have memorised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2"/>
        <w:gridCol w:w="10527"/>
      </w:tblGrid>
      <w:tr>
        <w:trPr>
          <w:tblHeader w:val="true"/>
        </w:trPr>
        <w:tc>
          <w:tcPr>
            <w:tcW w:w="81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52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0.1%</w:t>
            </w:r>
          </w:p>
        </w:tc>
        <w:tc>
          <w:tcPr>
            <w:tcW w:w="105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IndiaHandmade onboarded 4,186 artisans in three years against ~35 lakh handloom workers. </w:t>
            </w:r>
            <w:r>
              <w:rPr>
                <w:rStyle w:val="StrongEmphasis"/>
              </w:rPr>
              <w:t>The storefront was never the bottleneck</w:t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10,700+</w:t>
            </w:r>
          </w:p>
        </w:tc>
        <w:tc>
          <w:tcPr>
            <w:tcW w:w="105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GeM product categories. An artisan cannot navigate them; an entire consultancy industry exists because most sellers cannot either</w:t>
            </w:r>
          </w:p>
        </w:tc>
      </w:tr>
      <w:tr>
        <w:trPr/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₹</w:t>
            </w:r>
            <w:r>
              <w:rPr>
                <w:rStyle w:val="StrongEmphasis"/>
              </w:rPr>
              <w:t>136</w:t>
            </w:r>
          </w:p>
        </w:tc>
        <w:tc>
          <w:tcPr>
            <w:tcW w:w="105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Cost per artisan per year at national scale — ₹76 if GeM ships an order API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The four sentences that carry the pitch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Emphasis"/>
        </w:rPr>
        <w:t>"The government already built the storefront. It didn't scale, because getting a product ready to be listed is the actual work — and that is what we automated."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Emphasis"/>
        </w:rPr>
        <w:t>"One tap is tiered and we will tell you which tier each channel is in. A flat claim does not survive an industry judge; knowing which Indian platforms have APIs and which do not is the product."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Emphasis"/>
        </w:rPr>
        <w:t>"Pricing is arithmetic, not a model — because no training data exists for what a handicraft should cost, and every number has to survive 'how did you get that?'"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Emphasis"/>
        </w:rPr>
        <w:t>"Our largest cost is not compute. It is a human reading the GeM dashboard, because GeM has no order API — and one MoU removes ₹6 crore a year."</w:t>
      </w:r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Standing rules for the room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 xml:space="preserve">Never claim a channel is live when it returns </w:t>
      </w:r>
      <w:r>
        <w:rPr>
          <w:rStyle w:val="SourceText"/>
        </w:rPr>
        <w:t>dry_run</w:t>
      </w:r>
      <w:r>
        <w:rPr>
          <w:rStyle w:val="StrongEmphasis"/>
        </w:rPr>
        <w:t>.</w:t>
      </w:r>
      <w:r>
        <w:rPr/>
        <w:t xml:space="preserve"> Our own code says it: </w:t>
      </w:r>
      <w:r>
        <w:rPr>
          <w:rStyle w:val="Emphasis"/>
        </w:rPr>
        <w:t>"a demo claim that outruns the code is how you lose the room."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Name the limit before the judge finds it.</w:t>
      </w:r>
      <w:r>
        <w:rPr/>
        <w:t xml:space="preserve"> Every gap in this pack has a true statement that is more impressive than the false one it replaces.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left="709" w:hanging="283"/>
        <w:jc w:val="left"/>
        <w:rPr/>
      </w:pPr>
      <w:r>
        <w:rPr>
          <w:rStyle w:val="StrongEmphasis"/>
        </w:rPr>
        <w:t>Nothing unverified goes on a judged slide.</w:t>
      </w:r>
      <w:r>
        <w:rPr/>
        <w:t xml:space="preserve"> The verify lists are §18 of the Master Technical Reference and §8 of Costing Part B. 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serif" w:hAnsi="Liberation Serif;serif" w:eastAsia="Liberation Serif;serif" w:cs="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6365C"/>
      </w:pBdr>
    </w:pPr>
    <w:rPr>
      <w:rFonts w:ascii="Liberation Sans;sans-serif" w:hAnsi="Liberation Sans;sans-serif" w:eastAsia="Liberation Sans;sans-serif" w:cs="Liberation Sans;sans-serif"/>
      <w:b/>
      <w:bCs/>
      <w:color w:val="16365C"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ans;sans-serif" w:hAnsi="Liberation Sans;sans-serif" w:eastAsia="Liberation Sans;sans-serif" w:cs="Liberation Sans;sans-serif"/>
      <w:b/>
      <w:bCs/>
      <w:color w:val="16365C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ans;sans-serif" w:hAnsi="Liberation Sans;sans-serif" w:eastAsia="Liberation Sans;sans-serif" w:cs="Liberation Sans;sans-serif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18" w:space="6" w:color="16365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18" w:space="10" w:color="CC0000"/>
      </w:pBdr>
      <w:spacing w:before="0" w:after="283"/>
      <w:ind w:left="567" w:right="567" w:hanging="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README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