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rial" w:hAnsi="Arial" w:eastAsia="Arial" w:cs="Arial"/>
          <w:b/>
          <w:color w:val="1F3864"/>
          <w:sz w:val="44"/>
        </w:rPr>
        <w:t>MULTI-AGENT AI RESEARCH ASSISTANT</w:t>
      </w:r>
    </w:p>
    <w:p>
      <w:pPr>
        <w:spacing w:after="280"/>
        <w:jc w:val="center"/>
      </w:pPr>
      <w:r>
        <w:rPr>
          <w:rFonts w:ascii="Arial" w:hAnsi="Arial" w:eastAsia="Arial" w:cs="Arial"/>
          <w:b/>
          <w:color w:val="2E75B6"/>
          <w:sz w:val="30"/>
        </w:rPr>
        <w:t>MAARA</w:t>
      </w:r>
    </w:p>
    <w:p>
      <w:pPr>
        <w:spacing w:after="60"/>
        <w:jc w:val="center"/>
      </w:pPr>
      <w:r>
        <w:rPr>
          <w:rFonts w:ascii="Arial" w:hAnsi="Arial" w:eastAsia="Arial" w:cs="Arial"/>
          <w:b/>
          <w:sz w:val="30"/>
        </w:rPr>
        <w:t>Final Research Report</w:t>
      </w:r>
    </w:p>
    <w:p>
      <w:pPr>
        <w:spacing w:after="440"/>
        <w:jc w:val="center"/>
      </w:pPr>
      <w:r>
        <w:rPr>
          <w:rFonts w:ascii="Arial" w:hAnsi="Arial" w:eastAsia="Arial" w:cs="Arial"/>
          <w:i/>
          <w:color w:val="444444"/>
          <w:sz w:val="19"/>
        </w:rPr>
        <w:t>Literature Review, Paper Analysis &amp; Research Gap Identification</w:t>
      </w:r>
    </w:p>
    <w:tbl>
      <w:tblPr>
        <w:tblW w:type="auto" w:w="0"/>
        <w:jc w:val="center"/>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Layout w:type="fixed"/>
        <w:tblCellMar>
          <w:top w:w="70" w:type="dxa"/>
          <w:left w:w="110" w:type="dxa"/>
          <w:bottom w:w="70" w:type="dxa"/>
          <w:right w:w="110" w:type="dxa"/>
        </w:tblCellMar>
        <w:tblLook w:firstColumn="1" w:firstRow="1" w:lastColumn="0" w:lastRow="0" w:noHBand="0" w:noVBand="1" w:val="04A0"/>
      </w:tblPr>
      <w:tblGrid>
        <w:gridCol w:w="2494"/>
        <w:gridCol w:w="7370"/>
      </w:tblGrid>
      <w:tr>
        <w:trPr>
          <w:cantSplit w:val="true"/>
          <w:tblHeader w:val="true"/>
        </w:trPr>
        <w:tc>
          <w:tcPr>
            <w:tcW w:type="dxa" w:w="2494"/>
            <w:shd w:val="clear" w:color="auto" w:fill="1F3864"/>
          </w:tcPr>
          <w:p>
            <w:pPr>
              <w:spacing w:after="0" w:line="264" w:lineRule="auto"/>
              <w:jc w:val="left"/>
            </w:pPr>
            <w:r>
              <w:rPr>
                <w:rFonts w:ascii="Arial" w:hAnsi="Arial" w:eastAsia="Arial" w:cs="Arial"/>
                <w:b/>
                <w:color w:val="FFFFFF"/>
                <w:sz w:val="17"/>
              </w:rPr>
              <w:t>Field</w:t>
            </w:r>
          </w:p>
        </w:tc>
        <w:tc>
          <w:tcPr>
            <w:tcW w:type="dxa" w:w="7370"/>
            <w:shd w:val="clear" w:color="auto" w:fill="1F3864"/>
          </w:tcPr>
          <w:p>
            <w:pPr>
              <w:spacing w:after="0" w:line="264" w:lineRule="auto"/>
              <w:jc w:val="left"/>
            </w:pPr>
            <w:r>
              <w:rPr>
                <w:rFonts w:ascii="Arial" w:hAnsi="Arial" w:eastAsia="Arial" w:cs="Arial"/>
                <w:b/>
                <w:color w:val="FFFFFF"/>
                <w:sz w:val="17"/>
              </w:rPr>
              <w:t>Details</w:t>
            </w:r>
          </w:p>
        </w:tc>
      </w:tr>
      <w:tr>
        <w:trPr>
          <w:cantSplit w:val="true"/>
        </w:trPr>
        <w:tc>
          <w:tcPr>
            <w:tcW w:type="dxa" w:w="2494"/>
          </w:tcPr>
          <w:p>
            <w:pPr>
              <w:spacing w:after="0" w:line="264" w:lineRule="auto"/>
              <w:jc w:val="left"/>
            </w:pPr>
            <w:r>
              <w:rPr>
                <w:rFonts w:ascii="Arial" w:hAnsi="Arial" w:eastAsia="Arial" w:cs="Arial"/>
                <w:sz w:val="17"/>
              </w:rPr>
              <w:t>Project Title</w:t>
            </w:r>
          </w:p>
        </w:tc>
        <w:tc>
          <w:tcPr>
            <w:tcW w:type="dxa" w:w="7370"/>
          </w:tcPr>
          <w:p>
            <w:pPr>
              <w:spacing w:after="0" w:line="264" w:lineRule="auto"/>
              <w:jc w:val="left"/>
            </w:pPr>
            <w:r>
              <w:rPr>
                <w:rFonts w:ascii="Arial" w:hAnsi="Arial" w:eastAsia="Arial" w:cs="Arial"/>
                <w:sz w:val="17"/>
              </w:rPr>
              <w:t>Multi-Agent AI Research Assistant (MAARA): Intelligent Research Paper Analysis using Large Language Models</w:t>
            </w:r>
          </w:p>
        </w:tc>
      </w:tr>
      <w:tr>
        <w:trPr>
          <w:cantSplit w:val="true"/>
        </w:trPr>
        <w:tc>
          <w:tcPr>
            <w:tcW w:type="dxa" w:w="2494"/>
            <w:shd w:val="clear" w:color="auto" w:fill="F2F4F7"/>
          </w:tcPr>
          <w:p>
            <w:pPr>
              <w:spacing w:after="0" w:line="264" w:lineRule="auto"/>
              <w:jc w:val="left"/>
            </w:pPr>
            <w:r>
              <w:rPr>
                <w:rFonts w:ascii="Arial" w:hAnsi="Arial" w:eastAsia="Arial" w:cs="Arial"/>
                <w:sz w:val="17"/>
              </w:rPr>
              <w:t>Research Topic</w:t>
            </w:r>
          </w:p>
        </w:tc>
        <w:tc>
          <w:tcPr>
            <w:tcW w:type="dxa" w:w="7370"/>
            <w:shd w:val="clear" w:color="auto" w:fill="F2F4F7"/>
          </w:tcPr>
          <w:p>
            <w:pPr>
              <w:spacing w:after="0" w:line="264" w:lineRule="auto"/>
              <w:jc w:val="left"/>
            </w:pPr>
            <w:r>
              <w:rPr>
                <w:rFonts w:ascii="Arial" w:hAnsi="Arial" w:eastAsia="Arial" w:cs="Arial"/>
                <w:sz w:val="17"/>
              </w:rPr>
              <w:t>Multi-Agent AI – the study and development of autonomous agents that learn to interact, cooperate, and compete with one another in partially observable environments, with an emphasis on scalable, sample-efficient reinforcement-learning methods, effective inter-agent communication, and reasoning about other agents’ intentions.</w:t>
            </w:r>
          </w:p>
        </w:tc>
      </w:tr>
      <w:tr>
        <w:trPr>
          <w:cantSplit w:val="true"/>
        </w:trPr>
        <w:tc>
          <w:tcPr>
            <w:tcW w:type="dxa" w:w="2494"/>
          </w:tcPr>
          <w:p>
            <w:pPr>
              <w:spacing w:after="0" w:line="264" w:lineRule="auto"/>
              <w:jc w:val="left"/>
            </w:pPr>
            <w:r>
              <w:rPr>
                <w:rFonts w:ascii="Arial" w:hAnsi="Arial" w:eastAsia="Arial" w:cs="Arial"/>
                <w:sz w:val="17"/>
              </w:rPr>
              <w:t>Report Type</w:t>
            </w:r>
          </w:p>
        </w:tc>
        <w:tc>
          <w:tcPr>
            <w:tcW w:type="dxa" w:w="7370"/>
          </w:tcPr>
          <w:p>
            <w:pPr>
              <w:spacing w:after="0" w:line="264" w:lineRule="auto"/>
              <w:jc w:val="left"/>
            </w:pPr>
            <w:r>
              <w:rPr>
                <w:rFonts w:ascii="Arial" w:hAnsi="Arial" w:eastAsia="Arial" w:cs="Arial"/>
                <w:sz w:val="17"/>
              </w:rPr>
              <w:t>Final Research Report</w:t>
            </w:r>
          </w:p>
        </w:tc>
      </w:tr>
      <w:tr>
        <w:trPr>
          <w:cantSplit w:val="true"/>
        </w:trPr>
        <w:tc>
          <w:tcPr>
            <w:tcW w:type="dxa" w:w="2494"/>
            <w:shd w:val="clear" w:color="auto" w:fill="F2F4F7"/>
          </w:tcPr>
          <w:p>
            <w:pPr>
              <w:spacing w:after="0" w:line="264" w:lineRule="auto"/>
              <w:jc w:val="left"/>
            </w:pPr>
            <w:r>
              <w:rPr>
                <w:rFonts w:ascii="Arial" w:hAnsi="Arial" w:eastAsia="Arial" w:cs="Arial"/>
                <w:sz w:val="17"/>
              </w:rPr>
              <w:t>Submitted by</w:t>
            </w:r>
          </w:p>
        </w:tc>
        <w:tc>
          <w:tcPr>
            <w:tcW w:type="dxa" w:w="7370"/>
            <w:shd w:val="clear" w:color="auto" w:fill="F2F4F7"/>
          </w:tcPr>
          <w:p>
            <w:pPr>
              <w:spacing w:after="0" w:line="264" w:lineRule="auto"/>
              <w:jc w:val="left"/>
            </w:pPr>
            <w:r>
              <w:rPr>
                <w:rFonts w:ascii="Arial" w:hAnsi="Arial" w:eastAsia="Arial" w:cs="Arial"/>
                <w:sz w:val="17"/>
              </w:rPr>
              <w:t>Pratibha Gupta</w:t>
            </w:r>
          </w:p>
        </w:tc>
      </w:tr>
      <w:tr>
        <w:trPr>
          <w:cantSplit w:val="true"/>
        </w:trPr>
        <w:tc>
          <w:tcPr>
            <w:tcW w:type="dxa" w:w="2494"/>
          </w:tcPr>
          <w:p>
            <w:pPr>
              <w:spacing w:after="0" w:line="264" w:lineRule="auto"/>
              <w:jc w:val="left"/>
            </w:pPr>
            <w:r>
              <w:rPr>
                <w:rFonts w:ascii="Arial" w:hAnsi="Arial" w:eastAsia="Arial" w:cs="Arial"/>
                <w:sz w:val="17"/>
              </w:rPr>
              <w:t>Department</w:t>
            </w:r>
          </w:p>
        </w:tc>
        <w:tc>
          <w:tcPr>
            <w:tcW w:type="dxa" w:w="7370"/>
          </w:tcPr>
          <w:p>
            <w:pPr>
              <w:spacing w:after="0" w:line="264" w:lineRule="auto"/>
              <w:jc w:val="left"/>
            </w:pPr>
            <w:r>
              <w:rPr>
                <w:rFonts w:ascii="Arial" w:hAnsi="Arial" w:eastAsia="Arial" w:cs="Arial"/>
                <w:sz w:val="17"/>
              </w:rPr>
              <w:t>Artificial Intelligence and Data Science</w:t>
            </w:r>
          </w:p>
        </w:tc>
      </w:tr>
      <w:tr>
        <w:trPr>
          <w:cantSplit w:val="true"/>
        </w:trPr>
        <w:tc>
          <w:tcPr>
            <w:tcW w:type="dxa" w:w="2494"/>
            <w:shd w:val="clear" w:color="auto" w:fill="F2F4F7"/>
          </w:tcPr>
          <w:p>
            <w:pPr>
              <w:spacing w:after="0" w:line="264" w:lineRule="auto"/>
              <w:jc w:val="left"/>
            </w:pPr>
            <w:r>
              <w:rPr>
                <w:rFonts w:ascii="Arial" w:hAnsi="Arial" w:eastAsia="Arial" w:cs="Arial"/>
                <w:sz w:val="17"/>
              </w:rPr>
              <w:t>Faculty Mentor</w:t>
            </w:r>
          </w:p>
        </w:tc>
        <w:tc>
          <w:tcPr>
            <w:tcW w:type="dxa" w:w="7370"/>
            <w:shd w:val="clear" w:color="auto" w:fill="F2F4F7"/>
          </w:tcPr>
          <w:p>
            <w:pPr>
              <w:spacing w:after="0" w:line="264" w:lineRule="auto"/>
              <w:jc w:val="left"/>
            </w:pPr>
            <w:r>
              <w:rPr>
                <w:rFonts w:ascii="Arial" w:hAnsi="Arial" w:eastAsia="Arial" w:cs="Arial"/>
                <w:sz w:val="17"/>
              </w:rPr>
              <w:t>Mr. Y. Dayanand Kumar</w:t>
            </w:r>
          </w:p>
        </w:tc>
      </w:tr>
      <w:tr>
        <w:trPr>
          <w:cantSplit w:val="true"/>
        </w:trPr>
        <w:tc>
          <w:tcPr>
            <w:tcW w:type="dxa" w:w="2494"/>
          </w:tcPr>
          <w:p>
            <w:pPr>
              <w:spacing w:after="0" w:line="264" w:lineRule="auto"/>
              <w:jc w:val="left"/>
            </w:pPr>
            <w:r>
              <w:rPr>
                <w:rFonts w:ascii="Arial" w:hAnsi="Arial" w:eastAsia="Arial" w:cs="Arial"/>
                <w:sz w:val="17"/>
              </w:rPr>
              <w:t>Academic Year</w:t>
            </w:r>
          </w:p>
        </w:tc>
        <w:tc>
          <w:tcPr>
            <w:tcW w:type="dxa" w:w="7370"/>
          </w:tcPr>
          <w:p>
            <w:pPr>
              <w:spacing w:after="0" w:line="264" w:lineRule="auto"/>
              <w:jc w:val="left"/>
            </w:pPr>
            <w:r>
              <w:rPr>
                <w:rFonts w:ascii="Arial" w:hAnsi="Arial" w:eastAsia="Arial" w:cs="Arial"/>
                <w:sz w:val="17"/>
              </w:rPr>
              <w:t>2026</w:t>
            </w:r>
          </w:p>
        </w:tc>
      </w:tr>
      <w:tr>
        <w:trPr>
          <w:cantSplit w:val="true"/>
        </w:trPr>
        <w:tc>
          <w:tcPr>
            <w:tcW w:type="dxa" w:w="2494"/>
            <w:shd w:val="clear" w:color="auto" w:fill="F2F4F7"/>
          </w:tcPr>
          <w:p>
            <w:pPr>
              <w:spacing w:after="0" w:line="264" w:lineRule="auto"/>
              <w:jc w:val="left"/>
            </w:pPr>
            <w:r>
              <w:rPr>
                <w:rFonts w:ascii="Arial" w:hAnsi="Arial" w:eastAsia="Arial" w:cs="Arial"/>
                <w:sz w:val="17"/>
              </w:rPr>
              <w:t>Date</w:t>
            </w:r>
          </w:p>
        </w:tc>
        <w:tc>
          <w:tcPr>
            <w:tcW w:type="dxa" w:w="7370"/>
            <w:shd w:val="clear" w:color="auto" w:fill="F2F4F7"/>
          </w:tcPr>
          <w:p>
            <w:pPr>
              <w:spacing w:after="0" w:line="264" w:lineRule="auto"/>
              <w:jc w:val="left"/>
            </w:pPr>
            <w:r>
              <w:rPr>
                <w:rFonts w:ascii="Arial" w:hAnsi="Arial" w:eastAsia="Arial" w:cs="Arial"/>
                <w:sz w:val="17"/>
              </w:rPr>
              <w:t>October 2026</w:t>
            </w:r>
          </w:p>
        </w:tc>
      </w:tr>
    </w:tbl>
    <w:p>
      <w:pPr>
        <w:spacing w:before="360"/>
        <w:jc w:val="center"/>
      </w:pPr>
      <w:r>
        <w:rPr>
          <w:rFonts w:ascii="Arial" w:hAnsi="Arial" w:eastAsia="Arial" w:cs="Arial"/>
          <w:i/>
          <w:color w:val="444444"/>
          <w:sz w:val="17"/>
        </w:rPr>
        <w:t>This report was generated from the research papers retrieved and analysed by the Multi-Agent AI Research Assistant (MAARA).</w:t>
      </w:r>
    </w:p>
    <w:p>
      <w:r>
        <w:br w:type="page"/>
      </w:r>
    </w:p>
    <w:p>
      <w:pPr>
        <w:pStyle w:val="Heading1"/>
      </w:pPr>
      <w:r>
        <w:rPr>
          <w:rFonts w:ascii="Arial" w:hAnsi="Arial" w:eastAsia="Arial" w:cs="Arial"/>
        </w:rPr>
        <w:t>Research Topic</w:t>
      </w:r>
    </w:p>
    <w:p>
      <w:pPr>
        <w:jc w:val="both"/>
      </w:pPr>
      <w:r>
        <w:rPr>
          <w:rFonts w:ascii="Arial" w:hAnsi="Arial" w:eastAsia="Arial" w:cs="Arial"/>
          <w:b/>
        </w:rPr>
        <w:t>Multi-Agent AI</w:t>
      </w:r>
      <w:r>
        <w:rPr>
          <w:rFonts w:ascii="Arial" w:hAnsi="Arial" w:eastAsia="Arial" w:cs="Arial"/>
        </w:rPr>
        <w:t xml:space="preserve"> – the study and development of autonomous agents that learn to interact, cooperate, and compete with one another in partially observable environments, with an emphasis on scalable, sample-efficient reinforcement-learning methods, effective inter-agent communication, and reasoning about other agents’ intentions.</w:t>
      </w:r>
    </w:p>
    <w:p>
      <w:pPr>
        <w:pStyle w:val="Heading1"/>
      </w:pPr>
      <w:r>
        <w:rPr>
          <w:rFonts w:ascii="Arial" w:hAnsi="Arial" w:eastAsia="Arial" w:cs="Arial"/>
        </w:rPr>
        <w:t>Abstract</w:t>
      </w:r>
    </w:p>
    <w:p>
      <w:pPr>
        <w:jc w:val="both"/>
      </w:pPr>
      <w:r>
        <w:rPr>
          <w:rFonts w:ascii="Arial" w:hAnsi="Arial" w:eastAsia="Arial" w:cs="Arial"/>
        </w:rPr>
        <w:t xml:space="preserve">Multi-Agent AI (MAAI) seeks to endow collections of autonomous agents with the ability to coordinate their actions, infer hidden goals, and communicate efficiently while learning from limited experience. This report surveys three recent contributions that collectively outline the current research agenda, introduce a novel benchmark environment, and demonstrate a domain-specific technique for improving cooperative performance. The first work provides a high-level overview of the Autonomous Agents Research Group’s objectives, highlighting challenges such as scalability, communication, and sample efficiency. The second contribution presents </w:t>
      </w:r>
      <w:r>
        <w:rPr>
          <w:rFonts w:ascii="Arial" w:hAnsi="Arial" w:eastAsia="Arial" w:cs="Arial"/>
          <w:b/>
        </w:rPr>
        <w:t>Pommerman</w:t>
      </w:r>
      <w:r>
        <w:rPr>
          <w:rFonts w:ascii="Arial" w:hAnsi="Arial" w:eastAsia="Arial" w:cs="Arial"/>
        </w:rPr>
        <w:t xml:space="preserve">, a Bomberman-inspired multi-agent benchmark that blends cooperative and competitive dynamics and has already attracted community interest through competitions. The third paper investigates </w:t>
      </w:r>
      <w:r>
        <w:rPr>
          <w:rFonts w:ascii="Arial" w:hAnsi="Arial" w:eastAsia="Arial" w:cs="Arial"/>
          <w:b/>
        </w:rPr>
        <w:t>Hanabi</w:t>
      </w:r>
      <w:r>
        <w:rPr>
          <w:rFonts w:ascii="Arial" w:hAnsi="Arial" w:eastAsia="Arial" w:cs="Arial"/>
        </w:rPr>
        <w:t>, a cooperative card game, and shows that embedding human-derived conventions into the agents’ action space yields substantial performance gains without resorting to heavyweight architectures.</w:t>
      </w:r>
    </w:p>
    <w:p>
      <w:pPr>
        <w:jc w:val="both"/>
      </w:pPr>
      <w:r>
        <w:rPr>
          <w:rFonts w:ascii="Arial" w:hAnsi="Arial" w:eastAsia="Arial" w:cs="Arial"/>
        </w:rPr>
        <w:t>A systematic gap analysis reveals that, despite shared emphasis on deep reinforcement learning, auxiliary learning signals, and communication, the literature suffers from a lack of rigorous empirical validation, limited scalability demonstrations, and an over-reliance on hand-engineered knowledge. Consequently, a unified, empirically validated framework that autonomously discovers and adapts communication protocols across diverse partially observable domains remains absent.</w:t>
      </w:r>
    </w:p>
    <w:p>
      <w:pPr>
        <w:jc w:val="both"/>
      </w:pPr>
      <w:r>
        <w:rPr>
          <w:rFonts w:ascii="Arial" w:hAnsi="Arial" w:eastAsia="Arial" w:cs="Arial"/>
        </w:rPr>
        <w:t xml:space="preserve">To address the methodological bottlenecks that impede progress, we propose </w:t>
      </w:r>
      <w:r>
        <w:rPr>
          <w:rFonts w:ascii="Arial" w:hAnsi="Arial" w:eastAsia="Arial" w:cs="Arial"/>
          <w:b/>
        </w:rPr>
        <w:t>MAARA</w:t>
      </w:r>
      <w:r>
        <w:rPr>
          <w:rFonts w:ascii="Arial" w:hAnsi="Arial" w:eastAsia="Arial" w:cs="Arial"/>
        </w:rPr>
        <w:t xml:space="preserve"> (Multi-Agent AI Research Assistant), a modular research-assistant system that supports paper retrieval, ranking, summarization, gap identification, and structured report generation. MAARA does not claim to solve the identified research gaps experimentally; rather, it is designed to accelerate the scholarly workflow, enabling researchers to locate relevant literature, extract salient insights, and formulate well-grounded research directions.</w:t>
      </w:r>
    </w:p>
    <w:p>
      <w:pPr>
        <w:pStyle w:val="Heading1"/>
      </w:pPr>
      <w:r>
        <w:rPr>
          <w:rFonts w:ascii="Arial" w:hAnsi="Arial" w:eastAsia="Arial" w:cs="Arial"/>
        </w:rPr>
        <w:t>1. Introduction</w:t>
      </w:r>
    </w:p>
    <w:p>
      <w:pPr>
        <w:pStyle w:val="Heading2"/>
      </w:pPr>
      <w:r>
        <w:rPr>
          <w:rFonts w:ascii="Arial" w:hAnsi="Arial" w:eastAsia="Arial" w:cs="Arial"/>
        </w:rPr>
        <w:t>Background</w:t>
      </w:r>
    </w:p>
    <w:p>
      <w:pPr>
        <w:jc w:val="both"/>
      </w:pPr>
      <w:r>
        <w:rPr>
          <w:rFonts w:ascii="Arial" w:hAnsi="Arial" w:eastAsia="Arial" w:cs="Arial"/>
        </w:rPr>
        <w:t>Multi-Agent AI (MAAI) lies at the intersection of reinforcement learning, game theory, and distributed systems. In many real-world settings—autonomous robotics fleets, traffic management, distributed sensor networks, and collaborative games—agents must operate under partial observability, limited communication bandwidth, and dynamic opponent behavior. Recent advances in deep reinforcement learning (DRL) have enabled single-agent control in high-dimensional spaces, yet extending these successes to multi-agent contexts introduces additional complexities such as non-stationarity, coordination, and the need for scalable learning algorithms.</w:t>
      </w:r>
    </w:p>
    <w:p>
      <w:pPr>
        <w:pStyle w:val="Heading2"/>
      </w:pPr>
      <w:r>
        <w:rPr>
          <w:rFonts w:ascii="Arial" w:hAnsi="Arial" w:eastAsia="Arial" w:cs="Arial"/>
        </w:rPr>
        <w:t>Importance</w:t>
      </w:r>
    </w:p>
    <w:p>
      <w:pPr>
        <w:jc w:val="both"/>
      </w:pPr>
      <w:r>
        <w:rPr>
          <w:rFonts w:ascii="Arial" w:hAnsi="Arial" w:eastAsia="Arial" w:cs="Arial"/>
        </w:rPr>
        <w:t>Effective multi-agent coordination promises transformative capabilities: autonomous vehicles that negotiate intersections without centralized control, robotic teams that cooperatively accomplish search-and-rescue missions, and AI systems that can engage in sophisticated social interactions. However, achieving these capabilities requires overcoming fundamental challenges—learning coordinated policies with limited samples, inferring other agents’ hidden intents, and designing communication protocols that are both expressive and efficient.</w:t>
      </w:r>
    </w:p>
    <w:p>
      <w:pPr>
        <w:pStyle w:val="Heading2"/>
      </w:pPr>
      <w:r>
        <w:rPr>
          <w:rFonts w:ascii="Arial" w:hAnsi="Arial" w:eastAsia="Arial" w:cs="Arial"/>
        </w:rPr>
        <w:t>Motivation for Reviewing Existing Research</w:t>
      </w:r>
    </w:p>
    <w:p>
      <w:pPr>
        <w:jc w:val="both"/>
      </w:pPr>
      <w:r>
        <w:rPr>
          <w:rFonts w:ascii="Arial" w:hAnsi="Arial" w:eastAsia="Arial" w:cs="Arial"/>
        </w:rPr>
        <w:t>The three retrieved papers collectively illustrate the current state of MAAI research: a broad research agenda (Survey), a concrete benchmark that embodies many of the desired challenges (Pommerman), and a concrete algorithmic innovation that leverages human knowledge to improve learning efficiency (Hanabi Conventions). By synthesizing these contributions, we can pinpoint where the field has converged, where it diverges, and which methodological gaps remain unaddressed.</w:t>
      </w:r>
    </w:p>
    <w:p>
      <w:pPr>
        <w:pStyle w:val="Heading2"/>
      </w:pPr>
      <w:r>
        <w:rPr>
          <w:rFonts w:ascii="Arial" w:hAnsi="Arial" w:eastAsia="Arial" w:cs="Arial"/>
        </w:rPr>
        <w:t>Purpose of the Report</w:t>
      </w:r>
    </w:p>
    <w:p>
      <w:pPr>
        <w:jc w:val="both"/>
      </w:pPr>
      <w:r>
        <w:rPr>
          <w:rFonts w:ascii="Arial" w:hAnsi="Arial" w:eastAsia="Arial" w:cs="Arial"/>
        </w:rPr>
        <w:t>This report aims to (i) summarize the salient contributions of the retrieved works, (ii) conduct a structured gap analysis, (iii) propose a research-assistant system—MAARA—that streamlines the scholarly workflow for MAAI, and (iv) outline concrete future research directions that can bridge the identified gaps. The report adheres strictly to the supplied material and refrains from inventing data, citations, or experimental results.</w:t>
      </w:r>
    </w:p>
    <w:p>
      <w:pPr>
        <w:pStyle w:val="Heading1"/>
      </w:pPr>
      <w:r>
        <w:rPr>
          <w:rFonts w:ascii="Arial" w:hAnsi="Arial" w:eastAsia="Arial" w:cs="Arial"/>
        </w:rPr>
        <w:t>2. Literature Review</w:t>
      </w:r>
    </w:p>
    <w:p>
      <w:pPr>
        <w:pStyle w:val="Heading2"/>
      </w:pPr>
      <w:r>
        <w:rPr>
          <w:rFonts w:ascii="Arial" w:hAnsi="Arial" w:eastAsia="Arial" w:cs="Arial"/>
        </w:rPr>
        <w:t>Paper 1</w:t>
      </w:r>
    </w:p>
    <w:p>
      <w:pPr>
        <w:tabs>
          <w:tab w:pos="510" w:val="left"/>
        </w:tabs>
        <w:spacing w:after="60"/>
        <w:ind w:left="510" w:hanging="340"/>
        <w:jc w:val="left"/>
      </w:pPr>
      <w:r>
        <w:rPr>
          <w:rFonts w:ascii="Arial" w:hAnsi="Arial" w:eastAsia="Arial" w:cs="Arial"/>
        </w:rPr>
        <w:t>•</w:t>
        <w:tab/>
      </w:r>
      <w:r>
        <w:rPr>
          <w:rFonts w:ascii="Arial" w:hAnsi="Arial" w:eastAsia="Arial" w:cs="Arial"/>
          <w:b/>
        </w:rPr>
        <w:t>Title</w:t>
      </w:r>
      <w:r>
        <w:rPr>
          <w:rFonts w:ascii="Arial" w:hAnsi="Arial" w:eastAsia="Arial" w:cs="Arial"/>
        </w:rPr>
        <w:t xml:space="preserve">: </w:t>
      </w:r>
      <w:r>
        <w:rPr>
          <w:rFonts w:ascii="Arial" w:hAnsi="Arial" w:eastAsia="Arial" w:cs="Arial"/>
          <w:i/>
        </w:rPr>
        <w:t>Survey of Autonomous Agents Research</w:t>
      </w:r>
      <w:r>
        <w:rPr>
          <w:rFonts w:ascii="Arial" w:hAnsi="Arial" w:eastAsia="Arial" w:cs="Arial"/>
        </w:rPr>
        <w:t xml:space="preserve"> (as presented by the Autonomous Agents Research Group).</w:t>
      </w:r>
    </w:p>
    <w:p>
      <w:pPr>
        <w:tabs>
          <w:tab w:pos="510" w:val="left"/>
        </w:tabs>
        <w:spacing w:after="60"/>
        <w:ind w:left="510" w:hanging="340"/>
        <w:jc w:val="left"/>
      </w:pPr>
      <w:r>
        <w:rPr>
          <w:rFonts w:ascii="Arial" w:hAnsi="Arial" w:eastAsia="Arial" w:cs="Arial"/>
        </w:rPr>
        <w:t>•</w:t>
        <w:tab/>
      </w:r>
      <w:r>
        <w:rPr>
          <w:rFonts w:ascii="Arial" w:hAnsi="Arial" w:eastAsia="Arial" w:cs="Arial"/>
          <w:b/>
        </w:rPr>
        <w:t>Main Research Focus</w:t>
      </w:r>
      <w:r>
        <w:rPr>
          <w:rFonts w:ascii="Arial" w:hAnsi="Arial" w:eastAsia="Arial" w:cs="Arial"/>
        </w:rPr>
        <w:t>: Advancing autonomous agents that can interact and cooperate to solve complex tasks, with particular attention to scalable, sample-efficient learning, coordinated policy formation, inter-agent communication, and reasoning about other agents from sparse observations.</w:t>
      </w:r>
    </w:p>
    <w:p>
      <w:pPr>
        <w:tabs>
          <w:tab w:pos="510" w:val="left"/>
        </w:tabs>
        <w:spacing w:after="60"/>
        <w:ind w:left="510" w:hanging="340"/>
        <w:jc w:val="left"/>
      </w:pPr>
      <w:r>
        <w:rPr>
          <w:rFonts w:ascii="Arial" w:hAnsi="Arial" w:eastAsia="Arial" w:cs="Arial"/>
        </w:rPr>
        <w:t>•</w:t>
        <w:tab/>
      </w:r>
      <w:r>
        <w:rPr>
          <w:rFonts w:ascii="Arial" w:hAnsi="Arial" w:eastAsia="Arial" w:cs="Arial"/>
          <w:b/>
        </w:rPr>
        <w:t>Method / Approach</w:t>
      </w:r>
      <w:r>
        <w:rPr>
          <w:rFonts w:ascii="Arial" w:hAnsi="Arial" w:eastAsia="Arial" w:cs="Arial"/>
        </w:rPr>
        <w:t>: The group pursues a suite of machine-learning techniques, primarily:</w:t>
      </w:r>
    </w:p>
    <w:p>
      <w:pPr>
        <w:tabs>
          <w:tab w:pos="964" w:val="left"/>
        </w:tabs>
        <w:spacing w:after="60"/>
        <w:ind w:left="964" w:hanging="340"/>
        <w:jc w:val="left"/>
      </w:pPr>
      <w:r>
        <w:rPr>
          <w:rFonts w:ascii="Arial" w:hAnsi="Arial" w:eastAsia="Arial" w:cs="Arial"/>
        </w:rPr>
        <w:t>1.</w:t>
        <w:tab/>
      </w:r>
      <w:r>
        <w:rPr>
          <w:rFonts w:ascii="Arial" w:hAnsi="Arial" w:eastAsia="Arial" w:cs="Arial"/>
          <w:sz w:val="19"/>
        </w:rPr>
        <w:t>Deep Reinforcement Learning (DRL) for single-agent control.</w:t>
      </w:r>
    </w:p>
    <w:p>
      <w:pPr>
        <w:tabs>
          <w:tab w:pos="964" w:val="left"/>
        </w:tabs>
        <w:spacing w:after="60"/>
        <w:ind w:left="964" w:hanging="340"/>
        <w:jc w:val="left"/>
      </w:pPr>
      <w:r>
        <w:rPr>
          <w:rFonts w:ascii="Arial" w:hAnsi="Arial" w:eastAsia="Arial" w:cs="Arial"/>
        </w:rPr>
        <w:t>2.</w:t>
        <w:tab/>
      </w:r>
      <w:r>
        <w:rPr>
          <w:rFonts w:ascii="Arial" w:hAnsi="Arial" w:eastAsia="Arial" w:cs="Arial"/>
          <w:sz w:val="19"/>
        </w:rPr>
        <w:t>Multi-Agent Reinforcement Learning (MARL) for coordinated behavior and communication.</w:t>
      </w:r>
    </w:p>
    <w:p>
      <w:pPr>
        <w:tabs>
          <w:tab w:pos="964" w:val="left"/>
        </w:tabs>
        <w:spacing w:after="60"/>
        <w:ind w:left="964" w:hanging="340"/>
        <w:jc w:val="left"/>
      </w:pPr>
      <w:r>
        <w:rPr>
          <w:rFonts w:ascii="Arial" w:hAnsi="Arial" w:eastAsia="Arial" w:cs="Arial"/>
        </w:rPr>
        <w:t>3.</w:t>
        <w:tab/>
      </w:r>
      <w:r>
        <w:rPr>
          <w:rFonts w:ascii="Arial" w:hAnsi="Arial" w:eastAsia="Arial" w:cs="Arial"/>
          <w:sz w:val="19"/>
        </w:rPr>
        <w:t>Auxiliary techniques—intrinsic motivation, curriculum learning, causal inference, and representation learning—to boost sample efficiency and generalization.</w:t>
      </w:r>
    </w:p>
    <w:p>
      <w:pPr>
        <w:tabs>
          <w:tab w:pos="510" w:val="left"/>
        </w:tabs>
        <w:spacing w:after="60"/>
        <w:ind w:left="510" w:hanging="340"/>
        <w:jc w:val="left"/>
      </w:pPr>
      <w:r>
        <w:rPr>
          <w:rFonts w:ascii="Arial" w:hAnsi="Arial" w:eastAsia="Arial" w:cs="Arial"/>
        </w:rPr>
        <w:t>•</w:t>
        <w:tab/>
      </w:r>
      <w:r>
        <w:rPr>
          <w:rFonts w:ascii="Arial" w:hAnsi="Arial" w:eastAsia="Arial" w:cs="Arial"/>
          <w:b/>
        </w:rPr>
        <w:t>Key Findings</w:t>
      </w:r>
      <w:r>
        <w:rPr>
          <w:rFonts w:ascii="Arial" w:hAnsi="Arial" w:eastAsia="Arial" w:cs="Arial"/>
        </w:rPr>
        <w:t>: The abstract does not present empirical results; instead, it identifies core challenges (scalability, communication, reasoning, sample efficiency) and emphasizes the integration of advanced RL paradigms with auxiliary learning signals.</w:t>
      </w:r>
    </w:p>
    <w:p>
      <w:pPr>
        <w:tabs>
          <w:tab w:pos="510" w:val="left"/>
        </w:tabs>
        <w:spacing w:after="60"/>
        <w:ind w:left="510" w:hanging="340"/>
        <w:jc w:val="left"/>
      </w:pPr>
      <w:r>
        <w:rPr>
          <w:rFonts w:ascii="Arial" w:hAnsi="Arial" w:eastAsia="Arial" w:cs="Arial"/>
        </w:rPr>
        <w:t>•</w:t>
        <w:tab/>
      </w:r>
      <w:r>
        <w:rPr>
          <w:rFonts w:ascii="Arial" w:hAnsi="Arial" w:eastAsia="Arial" w:cs="Arial"/>
          <w:b/>
        </w:rPr>
        <w:t>Limitations or Research Gap</w:t>
      </w:r>
      <w:r>
        <w:rPr>
          <w:rFonts w:ascii="Arial" w:hAnsi="Arial" w:eastAsia="Arial" w:cs="Arial"/>
        </w:rPr>
        <w:t>: The overview lacks concrete experimental validation, quantitative benchmarks, or comparative analysis, making it difficult to assess practical impact. Specific algorithmic details, implementation challenges, and performance metrics are omitted.</w:t>
      </w:r>
    </w:p>
    <w:p>
      <w:pPr>
        <w:pStyle w:val="Heading2"/>
      </w:pPr>
      <w:r>
        <w:rPr>
          <w:rFonts w:ascii="Arial" w:hAnsi="Arial" w:eastAsia="Arial" w:cs="Arial"/>
        </w:rPr>
        <w:t>Paper 2</w:t>
      </w:r>
    </w:p>
    <w:p>
      <w:pPr>
        <w:tabs>
          <w:tab w:pos="510" w:val="left"/>
        </w:tabs>
        <w:spacing w:after="60"/>
        <w:ind w:left="510" w:hanging="340"/>
        <w:jc w:val="left"/>
      </w:pPr>
      <w:r>
        <w:rPr>
          <w:rFonts w:ascii="Arial" w:hAnsi="Arial" w:eastAsia="Arial" w:cs="Arial"/>
        </w:rPr>
        <w:t>•</w:t>
        <w:tab/>
      </w:r>
      <w:r>
        <w:rPr>
          <w:rFonts w:ascii="Arial" w:hAnsi="Arial" w:eastAsia="Arial" w:cs="Arial"/>
          <w:b/>
        </w:rPr>
        <w:t>Title</w:t>
      </w:r>
      <w:r>
        <w:rPr>
          <w:rFonts w:ascii="Arial" w:hAnsi="Arial" w:eastAsia="Arial" w:cs="Arial"/>
        </w:rPr>
        <w:t xml:space="preserve">: </w:t>
      </w:r>
      <w:r>
        <w:rPr>
          <w:rFonts w:ascii="Arial" w:hAnsi="Arial" w:eastAsia="Arial" w:cs="Arial"/>
          <w:i/>
        </w:rPr>
        <w:t>Pommerman: A Multi-Agent Benchmark for Cooperative and Competitive Learning</w:t>
      </w:r>
      <w:r>
        <w:rPr>
          <w:rFonts w:ascii="Arial" w:hAnsi="Arial" w:eastAsia="Arial" w:cs="Arial"/>
        </w:rPr>
        <w:t>.</w:t>
      </w:r>
    </w:p>
    <w:p>
      <w:pPr>
        <w:tabs>
          <w:tab w:pos="510" w:val="left"/>
        </w:tabs>
        <w:spacing w:after="60"/>
        <w:ind w:left="510" w:hanging="340"/>
        <w:jc w:val="left"/>
      </w:pPr>
      <w:r>
        <w:rPr>
          <w:rFonts w:ascii="Arial" w:hAnsi="Arial" w:eastAsia="Arial" w:cs="Arial"/>
        </w:rPr>
        <w:t>•</w:t>
        <w:tab/>
      </w:r>
      <w:r>
        <w:rPr>
          <w:rFonts w:ascii="Arial" w:hAnsi="Arial" w:eastAsia="Arial" w:cs="Arial"/>
          <w:b/>
        </w:rPr>
        <w:t>Main Research Focus</w:t>
      </w:r>
      <w:r>
        <w:rPr>
          <w:rFonts w:ascii="Arial" w:hAnsi="Arial" w:eastAsia="Arial" w:cs="Arial"/>
        </w:rPr>
        <w:t>: Introducing Pommerman, a new benchmark environment derived from the classic Bomberman game, designed to require a broad spectrum of AI techniques—including planning, opponent/teammate modeling, game-theoretic reasoning, and communication.</w:t>
      </w:r>
    </w:p>
    <w:p>
      <w:pPr>
        <w:tabs>
          <w:tab w:pos="510" w:val="left"/>
        </w:tabs>
        <w:spacing w:after="60"/>
        <w:ind w:left="510" w:hanging="340"/>
        <w:jc w:val="left"/>
      </w:pPr>
      <w:r>
        <w:rPr>
          <w:rFonts w:ascii="Arial" w:hAnsi="Arial" w:eastAsia="Arial" w:cs="Arial"/>
        </w:rPr>
        <w:t>•</w:t>
        <w:tab/>
      </w:r>
      <w:r>
        <w:rPr>
          <w:rFonts w:ascii="Arial" w:hAnsi="Arial" w:eastAsia="Arial" w:cs="Arial"/>
          <w:b/>
        </w:rPr>
        <w:t>Method / Approach</w:t>
      </w:r>
      <w:r>
        <w:rPr>
          <w:rFonts w:ascii="Arial" w:hAnsi="Arial" w:eastAsia="Arial" w:cs="Arial"/>
        </w:rPr>
        <w:t>:</w:t>
      </w:r>
    </w:p>
    <w:p>
      <w:pPr>
        <w:tabs>
          <w:tab w:pos="964" w:val="left"/>
        </w:tabs>
        <w:spacing w:after="60"/>
        <w:ind w:left="964" w:hanging="340"/>
        <w:jc w:val="left"/>
      </w:pPr>
      <w:r>
        <w:rPr>
          <w:rFonts w:ascii="Arial" w:hAnsi="Arial" w:eastAsia="Arial" w:cs="Arial"/>
        </w:rPr>
        <w:t>1.</w:t>
        <w:tab/>
      </w:r>
      <w:r>
        <w:rPr>
          <w:rFonts w:ascii="Arial" w:hAnsi="Arial" w:eastAsia="Arial" w:cs="Arial"/>
          <w:sz w:val="19"/>
        </w:rPr>
        <w:t>Design of multiple scenarios (each with &gt;= 4 agents) that embed both cooperative and competitive interactions.</w:t>
      </w:r>
    </w:p>
    <w:p>
      <w:pPr>
        <w:tabs>
          <w:tab w:pos="964" w:val="left"/>
        </w:tabs>
        <w:spacing w:after="60"/>
        <w:ind w:left="964" w:hanging="340"/>
        <w:jc w:val="left"/>
      </w:pPr>
      <w:r>
        <w:rPr>
          <w:rFonts w:ascii="Arial" w:hAnsi="Arial" w:eastAsia="Arial" w:cs="Arial"/>
        </w:rPr>
        <w:t>2.</w:t>
        <w:tab/>
      </w:r>
      <w:r>
        <w:rPr>
          <w:rFonts w:ascii="Arial" w:hAnsi="Arial" w:eastAsia="Arial" w:cs="Arial"/>
          <w:sz w:val="19"/>
        </w:rPr>
        <w:t>Implementation of a clear API, deterministic physics, and configurable rules (team vs. free-for-all, optional communication channels).</w:t>
      </w:r>
    </w:p>
    <w:p>
      <w:pPr>
        <w:tabs>
          <w:tab w:pos="964" w:val="left"/>
        </w:tabs>
        <w:spacing w:after="60"/>
        <w:ind w:left="964" w:hanging="340"/>
        <w:jc w:val="left"/>
      </w:pPr>
      <w:r>
        <w:rPr>
          <w:rFonts w:ascii="Arial" w:hAnsi="Arial" w:eastAsia="Arial" w:cs="Arial"/>
        </w:rPr>
        <w:t>3.</w:t>
        <w:tab/>
      </w:r>
      <w:r>
        <w:rPr>
          <w:rFonts w:ascii="Arial" w:hAnsi="Arial" w:eastAsia="Arial" w:cs="Arial"/>
          <w:sz w:val="19"/>
        </w:rPr>
        <w:t>Validation through an open competition and preparation for a NeurIPS 2018 competition track.</w:t>
      </w:r>
    </w:p>
    <w:p>
      <w:pPr>
        <w:tabs>
          <w:tab w:pos="510" w:val="left"/>
        </w:tabs>
        <w:spacing w:after="60"/>
        <w:ind w:left="510" w:hanging="340"/>
        <w:jc w:val="left"/>
      </w:pPr>
      <w:r>
        <w:rPr>
          <w:rFonts w:ascii="Arial" w:hAnsi="Arial" w:eastAsia="Arial" w:cs="Arial"/>
        </w:rPr>
        <w:t>•</w:t>
        <w:tab/>
      </w:r>
      <w:r>
        <w:rPr>
          <w:rFonts w:ascii="Arial" w:hAnsi="Arial" w:eastAsia="Arial" w:cs="Arial"/>
          <w:b/>
        </w:rPr>
        <w:t>Key Findings</w:t>
      </w:r>
      <w:r>
        <w:rPr>
          <w:rFonts w:ascii="Arial" w:hAnsi="Arial" w:eastAsia="Arial" w:cs="Arial"/>
        </w:rPr>
        <w:t>: Pommerman successfully merges cooperative and adversarial dynamics in a scalable environment; early community engagement demonstrates feasibility and interest; the environment naturally encourages integration of diverse AI tools.</w:t>
      </w:r>
    </w:p>
    <w:p>
      <w:pPr>
        <w:tabs>
          <w:tab w:pos="510" w:val="left"/>
        </w:tabs>
        <w:spacing w:after="60"/>
        <w:ind w:left="510" w:hanging="340"/>
        <w:jc w:val="left"/>
      </w:pPr>
      <w:r>
        <w:rPr>
          <w:rFonts w:ascii="Arial" w:hAnsi="Arial" w:eastAsia="Arial" w:cs="Arial"/>
        </w:rPr>
        <w:t>•</w:t>
        <w:tab/>
      </w:r>
      <w:r>
        <w:rPr>
          <w:rFonts w:ascii="Arial" w:hAnsi="Arial" w:eastAsia="Arial" w:cs="Arial"/>
          <w:b/>
        </w:rPr>
        <w:t>Limitations or Research Gap</w:t>
      </w:r>
      <w:r>
        <w:rPr>
          <w:rFonts w:ascii="Arial" w:hAnsi="Arial" w:eastAsia="Arial" w:cs="Arial"/>
        </w:rPr>
        <w:t>: The abstract provides no quantitative baselines, learning curves, or formal complexity analysis. Scalability beyond four agents and computational resource requirements are not discussed. Standardized evaluation metrics and reproducible baselines are absent.</w:t>
      </w:r>
    </w:p>
    <w:p>
      <w:pPr>
        <w:pStyle w:val="Heading2"/>
      </w:pPr>
      <w:r>
        <w:rPr>
          <w:rFonts w:ascii="Arial" w:hAnsi="Arial" w:eastAsia="Arial" w:cs="Arial"/>
        </w:rPr>
        <w:t>Paper 3</w:t>
      </w:r>
    </w:p>
    <w:p>
      <w:pPr>
        <w:tabs>
          <w:tab w:pos="510" w:val="left"/>
        </w:tabs>
        <w:spacing w:after="60"/>
        <w:ind w:left="510" w:hanging="340"/>
        <w:jc w:val="left"/>
      </w:pPr>
      <w:r>
        <w:rPr>
          <w:rFonts w:ascii="Arial" w:hAnsi="Arial" w:eastAsia="Arial" w:cs="Arial"/>
        </w:rPr>
        <w:t>•</w:t>
        <w:tab/>
      </w:r>
      <w:r>
        <w:rPr>
          <w:rFonts w:ascii="Arial" w:hAnsi="Arial" w:eastAsia="Arial" w:cs="Arial"/>
          <w:b/>
        </w:rPr>
        <w:t>Title</w:t>
      </w:r>
      <w:r>
        <w:rPr>
          <w:rFonts w:ascii="Arial" w:hAnsi="Arial" w:eastAsia="Arial" w:cs="Arial"/>
        </w:rPr>
        <w:t xml:space="preserve">: </w:t>
      </w:r>
      <w:r>
        <w:rPr>
          <w:rFonts w:ascii="Arial" w:hAnsi="Arial" w:eastAsia="Arial" w:cs="Arial"/>
          <w:i/>
        </w:rPr>
        <w:t>Human-Derived Conventions for Improving MARL in Hanabi</w:t>
      </w:r>
      <w:r>
        <w:rPr>
          <w:rFonts w:ascii="Arial" w:hAnsi="Arial" w:eastAsia="Arial" w:cs="Arial"/>
        </w:rPr>
        <w:t>.</w:t>
      </w:r>
    </w:p>
    <w:p>
      <w:pPr>
        <w:tabs>
          <w:tab w:pos="510" w:val="left"/>
        </w:tabs>
        <w:spacing w:after="60"/>
        <w:ind w:left="510" w:hanging="340"/>
        <w:jc w:val="left"/>
      </w:pPr>
      <w:r>
        <w:rPr>
          <w:rFonts w:ascii="Arial" w:hAnsi="Arial" w:eastAsia="Arial" w:cs="Arial"/>
        </w:rPr>
        <w:t>•</w:t>
        <w:tab/>
      </w:r>
      <w:r>
        <w:rPr>
          <w:rFonts w:ascii="Arial" w:hAnsi="Arial" w:eastAsia="Arial" w:cs="Arial"/>
          <w:b/>
        </w:rPr>
        <w:t>Main Research Focus</w:t>
      </w:r>
      <w:r>
        <w:rPr>
          <w:rFonts w:ascii="Arial" w:hAnsi="Arial" w:eastAsia="Arial" w:cs="Arial"/>
        </w:rPr>
        <w:t>: Enhancing MARL performance in the cooperative, partially-observable card game Hanabi by incorporating human-derived conventions that enable implicit knowledge sharing, thereby reducing computational complexity and data requirements.</w:t>
      </w:r>
    </w:p>
    <w:p>
      <w:pPr>
        <w:tabs>
          <w:tab w:pos="510" w:val="left"/>
        </w:tabs>
        <w:spacing w:after="60"/>
        <w:ind w:left="510" w:hanging="340"/>
        <w:jc w:val="left"/>
      </w:pPr>
      <w:r>
        <w:rPr>
          <w:rFonts w:ascii="Arial" w:hAnsi="Arial" w:eastAsia="Arial" w:cs="Arial"/>
        </w:rPr>
        <w:t>•</w:t>
        <w:tab/>
      </w:r>
      <w:r>
        <w:rPr>
          <w:rFonts w:ascii="Arial" w:hAnsi="Arial" w:eastAsia="Arial" w:cs="Arial"/>
          <w:b/>
        </w:rPr>
        <w:t>Method / Approach</w:t>
      </w:r>
      <w:r>
        <w:rPr>
          <w:rFonts w:ascii="Arial" w:hAnsi="Arial" w:eastAsia="Arial" w:cs="Arial"/>
        </w:rPr>
        <w:t>:</w:t>
      </w:r>
    </w:p>
    <w:p>
      <w:pPr>
        <w:tabs>
          <w:tab w:pos="964" w:val="left"/>
        </w:tabs>
        <w:spacing w:after="60"/>
        <w:ind w:left="964" w:hanging="340"/>
        <w:jc w:val="left"/>
      </w:pPr>
      <w:r>
        <w:rPr>
          <w:rFonts w:ascii="Arial" w:hAnsi="Arial" w:eastAsia="Arial" w:cs="Arial"/>
        </w:rPr>
        <w:t>1.</w:t>
        <w:tab/>
      </w:r>
      <w:r>
        <w:rPr>
          <w:rFonts w:ascii="Arial" w:hAnsi="Arial" w:eastAsia="Arial" w:cs="Arial"/>
          <w:sz w:val="19"/>
        </w:rPr>
        <w:t>Extend each agent’s action space with special cooperative actions that encode established human conventions.</w:t>
      </w:r>
    </w:p>
    <w:p>
      <w:pPr>
        <w:tabs>
          <w:tab w:pos="964" w:val="left"/>
        </w:tabs>
        <w:spacing w:after="60"/>
        <w:ind w:left="964" w:hanging="340"/>
        <w:jc w:val="left"/>
      </w:pPr>
      <w:r>
        <w:rPr>
          <w:rFonts w:ascii="Arial" w:hAnsi="Arial" w:eastAsia="Arial" w:cs="Arial"/>
        </w:rPr>
        <w:t>2.</w:t>
        <w:tab/>
      </w:r>
      <w:r>
        <w:rPr>
          <w:rFonts w:ascii="Arial" w:hAnsi="Arial" w:eastAsia="Arial" w:cs="Arial"/>
          <w:sz w:val="19"/>
        </w:rPr>
        <w:t xml:space="preserve">Require agents to </w:t>
      </w:r>
      <w:r>
        <w:rPr>
          <w:rFonts w:ascii="Arial" w:hAnsi="Arial" w:eastAsia="Arial" w:cs="Arial"/>
          <w:i/>
          <w:sz w:val="19"/>
        </w:rPr>
        <w:t>opt-in</w:t>
      </w:r>
      <w:r>
        <w:rPr>
          <w:rFonts w:ascii="Arial" w:hAnsi="Arial" w:eastAsia="Arial" w:cs="Arial"/>
          <w:sz w:val="19"/>
        </w:rPr>
        <w:t xml:space="preserve"> to execute these multi-step, multi-agent convention actions, introducing a temporal coordination layer.</w:t>
      </w:r>
    </w:p>
    <w:p>
      <w:pPr>
        <w:tabs>
          <w:tab w:pos="964" w:val="left"/>
        </w:tabs>
        <w:spacing w:after="60"/>
        <w:ind w:left="964" w:hanging="340"/>
        <w:jc w:val="left"/>
      </w:pPr>
      <w:r>
        <w:rPr>
          <w:rFonts w:ascii="Arial" w:hAnsi="Arial" w:eastAsia="Arial" w:cs="Arial"/>
        </w:rPr>
        <w:t>3.</w:t>
        <w:tab/>
      </w:r>
      <w:r>
        <w:rPr>
          <w:rFonts w:ascii="Arial" w:hAnsi="Arial" w:eastAsia="Arial" w:cs="Arial"/>
          <w:sz w:val="19"/>
        </w:rPr>
        <w:t>Evaluate on existing MARL baselines for self-play and cross-play across team sizes of 2–5 players, comparing against state-of-the-art Hanabi agents.</w:t>
      </w:r>
    </w:p>
    <w:p>
      <w:pPr>
        <w:tabs>
          <w:tab w:pos="510" w:val="left"/>
        </w:tabs>
        <w:spacing w:after="60"/>
        <w:ind w:left="510" w:hanging="340"/>
        <w:jc w:val="left"/>
      </w:pPr>
      <w:r>
        <w:rPr>
          <w:rFonts w:ascii="Arial" w:hAnsi="Arial" w:eastAsia="Arial" w:cs="Arial"/>
        </w:rPr>
        <w:t>•</w:t>
        <w:tab/>
      </w:r>
      <w:r>
        <w:rPr>
          <w:rFonts w:ascii="Arial" w:hAnsi="Arial" w:eastAsia="Arial" w:cs="Arial"/>
          <w:b/>
        </w:rPr>
        <w:t>Key Findings</w:t>
      </w:r>
      <w:r>
        <w:rPr>
          <w:rFonts w:ascii="Arial" w:hAnsi="Arial" w:eastAsia="Arial" w:cs="Arial"/>
        </w:rPr>
        <w:t>:</w:t>
      </w:r>
    </w:p>
    <w:p>
      <w:pPr>
        <w:tabs>
          <w:tab w:pos="964" w:val="left"/>
        </w:tabs>
        <w:spacing w:after="60"/>
        <w:ind w:left="964" w:hanging="340"/>
        <w:jc w:val="left"/>
      </w:pPr>
      <w:r>
        <w:rPr>
          <w:rFonts w:ascii="Arial" w:hAnsi="Arial" w:eastAsia="Arial" w:cs="Arial"/>
        </w:rPr>
        <w:t>–</w:t>
        <w:tab/>
      </w:r>
      <w:r>
        <w:rPr>
          <w:rFonts w:ascii="Arial" w:hAnsi="Arial" w:eastAsia="Arial" w:cs="Arial"/>
          <w:sz w:val="19"/>
        </w:rPr>
        <w:t>Adding convention-augmented actions yields measurable performance gains in both self-play and cross-play.</w:t>
      </w:r>
    </w:p>
    <w:p>
      <w:pPr>
        <w:tabs>
          <w:tab w:pos="964" w:val="left"/>
        </w:tabs>
        <w:spacing w:after="60"/>
        <w:ind w:left="964" w:hanging="340"/>
        <w:jc w:val="left"/>
      </w:pPr>
      <w:r>
        <w:rPr>
          <w:rFonts w:ascii="Arial" w:hAnsi="Arial" w:eastAsia="Arial" w:cs="Arial"/>
        </w:rPr>
        <w:t>–</w:t>
        <w:tab/>
      </w:r>
      <w:r>
        <w:rPr>
          <w:rFonts w:ascii="Arial" w:hAnsi="Arial" w:eastAsia="Arial" w:cs="Arial"/>
          <w:sz w:val="19"/>
        </w:rPr>
        <w:t>Improvements are observed across different team sizes, indicating scalability within the Hanabi domain.</w:t>
      </w:r>
    </w:p>
    <w:p>
      <w:pPr>
        <w:tabs>
          <w:tab w:pos="964" w:val="left"/>
        </w:tabs>
        <w:spacing w:after="60"/>
        <w:ind w:left="964" w:hanging="340"/>
        <w:jc w:val="left"/>
      </w:pPr>
      <w:r>
        <w:rPr>
          <w:rFonts w:ascii="Arial" w:hAnsi="Arial" w:eastAsia="Arial" w:cs="Arial"/>
        </w:rPr>
        <w:t>–</w:t>
        <w:tab/>
      </w:r>
      <w:r>
        <w:rPr>
          <w:rFonts w:ascii="Arial" w:hAnsi="Arial" w:eastAsia="Arial" w:cs="Arial"/>
          <w:sz w:val="19"/>
        </w:rPr>
        <w:t>Leveraging human knowledge reduces the need for heavy architectures and massive training data.</w:t>
      </w:r>
    </w:p>
    <w:p>
      <w:pPr>
        <w:tabs>
          <w:tab w:pos="510" w:val="left"/>
        </w:tabs>
        <w:spacing w:after="60"/>
        <w:ind w:left="510" w:hanging="340"/>
        <w:jc w:val="left"/>
      </w:pPr>
      <w:r>
        <w:rPr>
          <w:rFonts w:ascii="Arial" w:hAnsi="Arial" w:eastAsia="Arial" w:cs="Arial"/>
        </w:rPr>
        <w:t>•</w:t>
        <w:tab/>
      </w:r>
      <w:r>
        <w:rPr>
          <w:rFonts w:ascii="Arial" w:hAnsi="Arial" w:eastAsia="Arial" w:cs="Arial"/>
          <w:b/>
        </w:rPr>
        <w:t>Limitations or Research Gap</w:t>
      </w:r>
      <w:r>
        <w:rPr>
          <w:rFonts w:ascii="Arial" w:hAnsi="Arial" w:eastAsia="Arial" w:cs="Arial"/>
        </w:rPr>
        <w:t>: Dependence on pre-defined human conventions limits applicability to domains lacking such conventions; the opt-in mechanism adds learning complexity; generalization to other MARL domains remains untested.</w:t>
      </w:r>
    </w:p>
    <w:p>
      <w:pPr>
        <w:pStyle w:val="Heading1"/>
      </w:pPr>
      <w:r>
        <w:rPr>
          <w:rFonts w:ascii="Arial" w:hAnsi="Arial" w:eastAsia="Arial" w:cs="Arial"/>
        </w:rPr>
        <w:t>3. Research Gap Analysis</w:t>
      </w:r>
    </w:p>
    <w:p>
      <w:pPr>
        <w:pStyle w:val="Heading2"/>
      </w:pPr>
      <w:r>
        <w:rPr>
          <w:rFonts w:ascii="Arial" w:hAnsi="Arial" w:eastAsia="Arial" w:cs="Arial"/>
        </w:rPr>
        <w:t>3.1 Common Research Area</w:t>
      </w:r>
    </w:p>
    <w:p>
      <w:pPr>
        <w:jc w:val="both"/>
      </w:pPr>
      <w:r>
        <w:rPr>
          <w:rFonts w:ascii="Arial" w:hAnsi="Arial" w:eastAsia="Arial" w:cs="Arial"/>
        </w:rPr>
        <w:t xml:space="preserve">All three contributions target </w:t>
      </w:r>
      <w:r>
        <w:rPr>
          <w:rFonts w:ascii="Arial" w:hAnsi="Arial" w:eastAsia="Arial" w:cs="Arial"/>
          <w:b/>
        </w:rPr>
        <w:t>multi-agent reinforcement learning (MARL) for tasks that combine cooperation and competition under partial observability</w:t>
      </w:r>
      <w:r>
        <w:rPr>
          <w:rFonts w:ascii="Arial" w:hAnsi="Arial" w:eastAsia="Arial" w:cs="Arial"/>
        </w:rPr>
        <w:t>. The Survey outlines a broad research agenda, Pommerman supplies a concrete test-bed embodying these challenges, and the Hanabi work demonstrates a domain-specific technique for improving cooperative performance.</w:t>
      </w:r>
    </w:p>
    <w:p>
      <w:pPr>
        <w:pStyle w:val="Heading2"/>
      </w:pPr>
      <w:r>
        <w:rPr>
          <w:rFonts w:ascii="Arial" w:hAnsi="Arial" w:eastAsia="Arial" w:cs="Arial"/>
        </w:rPr>
        <w:t>3.2 Common Techniques and Approaches</w:t>
      </w:r>
    </w:p>
    <w:tbl>
      <w:tblPr>
        <w:tblW w:type="auto" w:w="0"/>
        <w:jc w:val="center"/>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Layout w:type="fixed"/>
        <w:tblCellMar>
          <w:top w:w="70" w:type="dxa"/>
          <w:left w:w="110" w:type="dxa"/>
          <w:bottom w:w="70" w:type="dxa"/>
          <w:right w:w="110" w:type="dxa"/>
        </w:tblCellMar>
        <w:tblLook w:firstColumn="1" w:firstRow="1" w:lastColumn="0" w:lastRow="0" w:noHBand="0" w:noVBand="1" w:val="04A0"/>
      </w:tblPr>
      <w:tblGrid>
        <w:gridCol w:w="4932"/>
        <w:gridCol w:w="4932"/>
      </w:tblGrid>
      <w:tr>
        <w:trPr>
          <w:cantSplit w:val="true"/>
          <w:tblHeader w:val="true"/>
        </w:trPr>
        <w:tc>
          <w:tcPr>
            <w:tcW w:type="dxa" w:w="4932"/>
            <w:shd w:val="clear" w:color="auto" w:fill="1F3864"/>
          </w:tcPr>
          <w:p>
            <w:pPr>
              <w:spacing w:after="0" w:line="264" w:lineRule="auto"/>
              <w:jc w:val="left"/>
            </w:pPr>
            <w:r>
              <w:rPr>
                <w:rFonts w:ascii="Arial" w:hAnsi="Arial" w:eastAsia="Arial" w:cs="Arial"/>
                <w:b/>
                <w:color w:val="FFFFFF"/>
                <w:sz w:val="17"/>
              </w:rPr>
              <w:t>Technique</w:t>
            </w:r>
          </w:p>
        </w:tc>
        <w:tc>
          <w:tcPr>
            <w:tcW w:type="dxa" w:w="4932"/>
            <w:shd w:val="clear" w:color="auto" w:fill="1F3864"/>
          </w:tcPr>
          <w:p>
            <w:pPr>
              <w:spacing w:after="0" w:line="264" w:lineRule="auto"/>
              <w:jc w:val="left"/>
            </w:pPr>
            <w:r>
              <w:rPr>
                <w:rFonts w:ascii="Arial" w:hAnsi="Arial" w:eastAsia="Arial" w:cs="Arial"/>
                <w:b/>
                <w:color w:val="FFFFFF"/>
                <w:sz w:val="17"/>
              </w:rPr>
              <w:t>Frequency / Context</w:t>
            </w:r>
          </w:p>
        </w:tc>
      </w:tr>
      <w:tr>
        <w:trPr>
          <w:cantSplit w:val="true"/>
        </w:trPr>
        <w:tc>
          <w:tcPr>
            <w:tcW w:type="dxa" w:w="4932"/>
          </w:tcPr>
          <w:p>
            <w:pPr>
              <w:spacing w:after="0" w:line="264" w:lineRule="auto"/>
              <w:jc w:val="left"/>
            </w:pPr>
            <w:r>
              <w:rPr>
                <w:rFonts w:ascii="Arial" w:hAnsi="Arial" w:eastAsia="Arial" w:cs="Arial"/>
                <w:b/>
                <w:sz w:val="17"/>
              </w:rPr>
              <w:t>Deep Reinforcement Learning / MARL</w:t>
            </w:r>
          </w:p>
        </w:tc>
        <w:tc>
          <w:tcPr>
            <w:tcW w:type="dxa" w:w="4932"/>
          </w:tcPr>
          <w:p>
            <w:pPr>
              <w:spacing w:after="0" w:line="264" w:lineRule="auto"/>
              <w:jc w:val="left"/>
            </w:pPr>
            <w:r>
              <w:rPr>
                <w:rFonts w:ascii="Arial" w:hAnsi="Arial" w:eastAsia="Arial" w:cs="Arial"/>
                <w:sz w:val="17"/>
              </w:rPr>
              <w:t>Core learning paradigm across all three works.</w:t>
            </w:r>
          </w:p>
        </w:tc>
      </w:tr>
      <w:tr>
        <w:trPr>
          <w:cantSplit w:val="true"/>
        </w:trPr>
        <w:tc>
          <w:tcPr>
            <w:tcW w:type="dxa" w:w="4932"/>
            <w:shd w:val="clear" w:color="auto" w:fill="F2F4F7"/>
          </w:tcPr>
          <w:p>
            <w:pPr>
              <w:spacing w:after="0" w:line="264" w:lineRule="auto"/>
              <w:jc w:val="left"/>
            </w:pPr>
            <w:r>
              <w:rPr>
                <w:rFonts w:ascii="Arial" w:hAnsi="Arial" w:eastAsia="Arial" w:cs="Arial"/>
                <w:b/>
                <w:sz w:val="17"/>
              </w:rPr>
              <w:t>Auxiliary Learning Signals</w:t>
            </w:r>
            <w:r>
              <w:rPr>
                <w:rFonts w:ascii="Arial" w:hAnsi="Arial" w:eastAsia="Arial" w:cs="Arial"/>
                <w:sz w:val="17"/>
              </w:rPr>
              <w:t xml:space="preserve"> (intrinsic motivation, curriculum learning, causal inference, representation learning)</w:t>
            </w:r>
          </w:p>
        </w:tc>
        <w:tc>
          <w:tcPr>
            <w:tcW w:type="dxa" w:w="4932"/>
            <w:shd w:val="clear" w:color="auto" w:fill="F2F4F7"/>
          </w:tcPr>
          <w:p>
            <w:pPr>
              <w:spacing w:after="0" w:line="264" w:lineRule="auto"/>
              <w:jc w:val="left"/>
            </w:pPr>
            <w:r>
              <w:rPr>
                <w:rFonts w:ascii="Arial" w:hAnsi="Arial" w:eastAsia="Arial" w:cs="Arial"/>
                <w:sz w:val="17"/>
              </w:rPr>
              <w:t>Highlighted in the Survey; implicitly present in Pommerman’s competition-driven curriculum and Hanabi’s use of human conventions as an auxiliary signal.</w:t>
            </w:r>
          </w:p>
        </w:tc>
      </w:tr>
      <w:tr>
        <w:trPr>
          <w:cantSplit w:val="true"/>
        </w:trPr>
        <w:tc>
          <w:tcPr>
            <w:tcW w:type="dxa" w:w="4932"/>
          </w:tcPr>
          <w:p>
            <w:pPr>
              <w:spacing w:after="0" w:line="264" w:lineRule="auto"/>
              <w:jc w:val="left"/>
            </w:pPr>
            <w:r>
              <w:rPr>
                <w:rFonts w:ascii="Arial" w:hAnsi="Arial" w:eastAsia="Arial" w:cs="Arial"/>
                <w:b/>
                <w:sz w:val="17"/>
              </w:rPr>
              <w:t>Communication Protocols</w:t>
            </w:r>
            <w:r>
              <w:rPr>
                <w:rFonts w:ascii="Arial" w:hAnsi="Arial" w:eastAsia="Arial" w:cs="Arial"/>
                <w:sz w:val="17"/>
              </w:rPr>
              <w:t xml:space="preserve"> (explicit messages, shared conventions, environment-level signals)</w:t>
            </w:r>
          </w:p>
        </w:tc>
        <w:tc>
          <w:tcPr>
            <w:tcW w:type="dxa" w:w="4932"/>
          </w:tcPr>
          <w:p>
            <w:pPr>
              <w:spacing w:after="0" w:line="264" w:lineRule="auto"/>
              <w:jc w:val="left"/>
            </w:pPr>
            <w:r>
              <w:rPr>
                <w:rFonts w:ascii="Arial" w:hAnsi="Arial" w:eastAsia="Arial" w:cs="Arial"/>
                <w:sz w:val="17"/>
              </w:rPr>
              <w:t>Central to Pommerman (configurable channels) and Hanabi (convention-augmented actions); the Survey stresses the need for more effective protocols.</w:t>
            </w:r>
          </w:p>
        </w:tc>
      </w:tr>
      <w:tr>
        <w:trPr>
          <w:cantSplit w:val="true"/>
        </w:trPr>
        <w:tc>
          <w:tcPr>
            <w:tcW w:type="dxa" w:w="4932"/>
            <w:shd w:val="clear" w:color="auto" w:fill="F2F4F7"/>
          </w:tcPr>
          <w:p>
            <w:pPr>
              <w:spacing w:after="0" w:line="264" w:lineRule="auto"/>
              <w:jc w:val="left"/>
            </w:pPr>
            <w:r>
              <w:rPr>
                <w:rFonts w:ascii="Arial" w:hAnsi="Arial" w:eastAsia="Arial" w:cs="Arial"/>
                <w:b/>
                <w:sz w:val="17"/>
              </w:rPr>
              <w:t>Planning / Model-Based Reasoning</w:t>
            </w:r>
          </w:p>
        </w:tc>
        <w:tc>
          <w:tcPr>
            <w:tcW w:type="dxa" w:w="4932"/>
            <w:shd w:val="clear" w:color="auto" w:fill="F2F4F7"/>
          </w:tcPr>
          <w:p>
            <w:pPr>
              <w:spacing w:after="0" w:line="264" w:lineRule="auto"/>
              <w:jc w:val="left"/>
            </w:pPr>
            <w:r>
              <w:rPr>
                <w:rFonts w:ascii="Arial" w:hAnsi="Arial" w:eastAsia="Arial" w:cs="Arial"/>
                <w:sz w:val="17"/>
              </w:rPr>
              <w:t>Required for Pommerman’s strategic gameplay; mentioned as a future direction in the Survey; not directly implemented in Hanabi.</w:t>
            </w:r>
          </w:p>
        </w:tc>
      </w:tr>
      <w:tr>
        <w:trPr>
          <w:cantSplit w:val="true"/>
        </w:trPr>
        <w:tc>
          <w:tcPr>
            <w:tcW w:type="dxa" w:w="4932"/>
          </w:tcPr>
          <w:p>
            <w:pPr>
              <w:spacing w:after="0" w:line="264" w:lineRule="auto"/>
              <w:jc w:val="left"/>
            </w:pPr>
            <w:r>
              <w:rPr>
                <w:rFonts w:ascii="Arial" w:hAnsi="Arial" w:eastAsia="Arial" w:cs="Arial"/>
                <w:b/>
                <w:sz w:val="17"/>
              </w:rPr>
              <w:t>Human Knowledge Injection</w:t>
            </w:r>
            <w:r>
              <w:rPr>
                <w:rFonts w:ascii="Arial" w:hAnsi="Arial" w:eastAsia="Arial" w:cs="Arial"/>
                <w:sz w:val="17"/>
              </w:rPr>
              <w:t xml:space="preserve"> (conventions, heuristics)</w:t>
            </w:r>
          </w:p>
        </w:tc>
        <w:tc>
          <w:tcPr>
            <w:tcW w:type="dxa" w:w="4932"/>
          </w:tcPr>
          <w:p>
            <w:pPr>
              <w:spacing w:after="0" w:line="264" w:lineRule="auto"/>
              <w:jc w:val="left"/>
            </w:pPr>
            <w:r>
              <w:rPr>
                <w:rFonts w:ascii="Arial" w:hAnsi="Arial" w:eastAsia="Arial" w:cs="Arial"/>
                <w:sz w:val="17"/>
              </w:rPr>
              <w:t>Explicit in Hanabi; the Survey alludes to “human-in-the-loop” ideas via auxiliary techniques.</w:t>
            </w:r>
          </w:p>
        </w:tc>
      </w:tr>
    </w:tbl>
    <w:p>
      <w:pPr>
        <w:spacing w:before="80" w:after="200"/>
        <w:jc w:val="center"/>
      </w:pPr>
      <w:r>
        <w:rPr>
          <w:rFonts w:ascii="Arial" w:hAnsi="Arial" w:eastAsia="Arial" w:cs="Arial"/>
          <w:i/>
          <w:color w:val="444444"/>
          <w:sz w:val="17"/>
        </w:rPr>
        <w:t>Table 1: Common Techniques and Approaches</w:t>
      </w:r>
    </w:p>
    <w:p>
      <w:pPr>
        <w:pStyle w:val="Heading2"/>
      </w:pPr>
      <w:r>
        <w:rPr>
          <w:rFonts w:ascii="Arial" w:hAnsi="Arial" w:eastAsia="Arial" w:cs="Arial"/>
        </w:rPr>
        <w:t>3.3 Common Limitations</w:t>
      </w:r>
    </w:p>
    <w:tbl>
      <w:tblPr>
        <w:tblW w:type="auto" w:w="0"/>
        <w:jc w:val="center"/>
        <w:tblBorders>
          <w:top w:val="single" w:sz="4" w:space="0" w:color="BFC5CE"/>
          <w:left w:val="single" w:sz="4" w:space="0" w:color="BFC5CE"/>
          <w:bottom w:val="single" w:sz="4" w:space="0" w:color="BFC5CE"/>
          <w:right w:val="single" w:sz="4" w:space="0" w:color="BFC5CE"/>
          <w:insideH w:val="single" w:sz="4" w:space="0" w:color="BFC5CE"/>
          <w:insideV w:val="single" w:sz="4" w:space="0" w:color="BFC5CE"/>
        </w:tblBorders>
        <w:tblLayout w:type="fixed"/>
        <w:tblCellMar>
          <w:top w:w="70" w:type="dxa"/>
          <w:left w:w="110" w:type="dxa"/>
          <w:bottom w:w="70" w:type="dxa"/>
          <w:right w:w="110" w:type="dxa"/>
        </w:tblCellMar>
        <w:tblLook w:firstColumn="1" w:firstRow="1" w:lastColumn="0" w:lastRow="0" w:noHBand="0" w:noVBand="1" w:val="04A0"/>
      </w:tblPr>
      <w:tblGrid>
        <w:gridCol w:w="4112"/>
        <w:gridCol w:w="5753"/>
      </w:tblGrid>
      <w:tr>
        <w:trPr>
          <w:cantSplit w:val="true"/>
          <w:tblHeader w:val="true"/>
        </w:trPr>
        <w:tc>
          <w:tcPr>
            <w:tcW w:type="dxa" w:w="4112"/>
            <w:shd w:val="clear" w:color="auto" w:fill="1F3864"/>
          </w:tcPr>
          <w:p>
            <w:pPr>
              <w:spacing w:after="0" w:line="264" w:lineRule="auto"/>
              <w:jc w:val="left"/>
            </w:pPr>
            <w:r>
              <w:rPr>
                <w:rFonts w:ascii="Arial" w:hAnsi="Arial" w:eastAsia="Arial" w:cs="Arial"/>
                <w:b/>
                <w:color w:val="FFFFFF"/>
                <w:sz w:val="17"/>
              </w:rPr>
              <w:t>Limitation</w:t>
            </w:r>
          </w:p>
        </w:tc>
        <w:tc>
          <w:tcPr>
            <w:tcW w:type="dxa" w:w="5753"/>
            <w:shd w:val="clear" w:color="auto" w:fill="1F3864"/>
          </w:tcPr>
          <w:p>
            <w:pPr>
              <w:spacing w:after="0" w:line="264" w:lineRule="auto"/>
              <w:jc w:val="left"/>
            </w:pPr>
            <w:r>
              <w:rPr>
                <w:rFonts w:ascii="Arial" w:hAnsi="Arial" w:eastAsia="Arial" w:cs="Arial"/>
                <w:b/>
                <w:color w:val="FFFFFF"/>
                <w:sz w:val="17"/>
              </w:rPr>
              <w:t>Evidence Across Papers</w:t>
            </w:r>
          </w:p>
        </w:tc>
      </w:tr>
      <w:tr>
        <w:trPr>
          <w:cantSplit w:val="true"/>
        </w:trPr>
        <w:tc>
          <w:tcPr>
            <w:tcW w:type="dxa" w:w="4112"/>
          </w:tcPr>
          <w:p>
            <w:pPr>
              <w:spacing w:after="0" w:line="264" w:lineRule="auto"/>
              <w:jc w:val="left"/>
            </w:pPr>
            <w:r>
              <w:rPr>
                <w:rFonts w:ascii="Arial" w:hAnsi="Arial" w:eastAsia="Arial" w:cs="Arial"/>
                <w:b/>
                <w:sz w:val="17"/>
              </w:rPr>
              <w:t>Insufficient Empirical Validation</w:t>
            </w:r>
          </w:p>
        </w:tc>
        <w:tc>
          <w:tcPr>
            <w:tcW w:type="dxa" w:w="5753"/>
          </w:tcPr>
          <w:p>
            <w:pPr>
              <w:spacing w:after="0" w:line="264" w:lineRule="auto"/>
              <w:jc w:val="left"/>
            </w:pPr>
            <w:r>
              <w:rPr>
                <w:rFonts w:ascii="Arial" w:hAnsi="Arial" w:eastAsia="Arial" w:cs="Arial"/>
                <w:sz w:val="17"/>
              </w:rPr>
              <w:t>Survey provides no quantitative results; Pommerman lacks baselines and learning curves; Hanabi focuses on a single domain without broader benchmarks.</w:t>
            </w:r>
          </w:p>
        </w:tc>
      </w:tr>
      <w:tr>
        <w:trPr>
          <w:cantSplit w:val="true"/>
        </w:trPr>
        <w:tc>
          <w:tcPr>
            <w:tcW w:type="dxa" w:w="4112"/>
            <w:shd w:val="clear" w:color="auto" w:fill="F2F4F7"/>
          </w:tcPr>
          <w:p>
            <w:pPr>
              <w:spacing w:after="0" w:line="264" w:lineRule="auto"/>
              <w:jc w:val="left"/>
            </w:pPr>
            <w:r>
              <w:rPr>
                <w:rFonts w:ascii="Arial" w:hAnsi="Arial" w:eastAsia="Arial" w:cs="Arial"/>
                <w:b/>
                <w:sz w:val="17"/>
              </w:rPr>
              <w:t>Scalability Not Demonstrated</w:t>
            </w:r>
          </w:p>
        </w:tc>
        <w:tc>
          <w:tcPr>
            <w:tcW w:type="dxa" w:w="5753"/>
            <w:shd w:val="clear" w:color="auto" w:fill="F2F4F7"/>
          </w:tcPr>
          <w:p>
            <w:pPr>
              <w:spacing w:after="0" w:line="264" w:lineRule="auto"/>
              <w:jc w:val="left"/>
            </w:pPr>
            <w:r>
              <w:rPr>
                <w:rFonts w:ascii="Arial" w:hAnsi="Arial" w:eastAsia="Arial" w:cs="Arial"/>
                <w:sz w:val="17"/>
              </w:rPr>
              <w:t>Survey claims scalability but offers no large-scale experiments; Pommerman experiments limited to four agents; Hanabi evaluated up to five players only.</w:t>
            </w:r>
          </w:p>
        </w:tc>
      </w:tr>
      <w:tr>
        <w:trPr>
          <w:cantSplit w:val="true"/>
        </w:trPr>
        <w:tc>
          <w:tcPr>
            <w:tcW w:type="dxa" w:w="4112"/>
          </w:tcPr>
          <w:p>
            <w:pPr>
              <w:spacing w:after="0" w:line="264" w:lineRule="auto"/>
              <w:jc w:val="left"/>
            </w:pPr>
            <w:r>
              <w:rPr>
                <w:rFonts w:ascii="Arial" w:hAnsi="Arial" w:eastAsia="Arial" w:cs="Arial"/>
                <w:b/>
                <w:sz w:val="17"/>
              </w:rPr>
              <w:t>Benchmark &amp; Evaluation Standardization Missing</w:t>
            </w:r>
          </w:p>
        </w:tc>
        <w:tc>
          <w:tcPr>
            <w:tcW w:type="dxa" w:w="5753"/>
          </w:tcPr>
          <w:p>
            <w:pPr>
              <w:spacing w:after="0" w:line="264" w:lineRule="auto"/>
              <w:jc w:val="left"/>
            </w:pPr>
            <w:r>
              <w:rPr>
                <w:rFonts w:ascii="Arial" w:hAnsi="Arial" w:eastAsia="Arial" w:cs="Arial"/>
                <w:sz w:val="17"/>
              </w:rPr>
              <w:t>Pommerman explicitly calls for standardized baselines; Survey mentions open problems without concrete metrics; Hanabi does not compare against alternative communication schemes.</w:t>
            </w:r>
          </w:p>
        </w:tc>
      </w:tr>
      <w:tr>
        <w:trPr>
          <w:cantSplit w:val="true"/>
        </w:trPr>
        <w:tc>
          <w:tcPr>
            <w:tcW w:type="dxa" w:w="4112"/>
            <w:shd w:val="clear" w:color="auto" w:fill="F2F4F7"/>
          </w:tcPr>
          <w:p>
            <w:pPr>
              <w:spacing w:after="0" w:line="264" w:lineRule="auto"/>
              <w:jc w:val="left"/>
            </w:pPr>
            <w:r>
              <w:rPr>
                <w:rFonts w:ascii="Arial" w:hAnsi="Arial" w:eastAsia="Arial" w:cs="Arial"/>
                <w:b/>
                <w:sz w:val="17"/>
              </w:rPr>
              <w:t>Reliance on Hand-Engineered Knowledge</w:t>
            </w:r>
          </w:p>
        </w:tc>
        <w:tc>
          <w:tcPr>
            <w:tcW w:type="dxa" w:w="5753"/>
            <w:shd w:val="clear" w:color="auto" w:fill="F2F4F7"/>
          </w:tcPr>
          <w:p>
            <w:pPr>
              <w:spacing w:after="0" w:line="264" w:lineRule="auto"/>
              <w:jc w:val="left"/>
            </w:pPr>
            <w:r>
              <w:rPr>
                <w:rFonts w:ascii="Arial" w:hAnsi="Arial" w:eastAsia="Arial" w:cs="Arial"/>
                <w:sz w:val="17"/>
              </w:rPr>
              <w:t>Hanabi’s conventions are manually imported; Survey’s auxiliary techniques are described conceptually rather than instantiated.</w:t>
            </w:r>
          </w:p>
        </w:tc>
      </w:tr>
      <w:tr>
        <w:trPr>
          <w:cantSplit w:val="true"/>
        </w:trPr>
        <w:tc>
          <w:tcPr>
            <w:tcW w:type="dxa" w:w="4112"/>
          </w:tcPr>
          <w:p>
            <w:pPr>
              <w:spacing w:after="0" w:line="264" w:lineRule="auto"/>
              <w:jc w:val="left"/>
            </w:pPr>
            <w:r>
              <w:rPr>
                <w:rFonts w:ascii="Arial" w:hAnsi="Arial" w:eastAsia="Arial" w:cs="Arial"/>
                <w:b/>
                <w:sz w:val="17"/>
              </w:rPr>
              <w:t>Limited Cross-Domain Generalization</w:t>
            </w:r>
          </w:p>
        </w:tc>
        <w:tc>
          <w:tcPr>
            <w:tcW w:type="dxa" w:w="5753"/>
          </w:tcPr>
          <w:p>
            <w:pPr>
              <w:spacing w:after="0" w:line="264" w:lineRule="auto"/>
              <w:jc w:val="left"/>
            </w:pPr>
            <w:r>
              <w:rPr>
                <w:rFonts w:ascii="Arial" w:hAnsi="Arial" w:eastAsia="Arial" w:cs="Arial"/>
                <w:sz w:val="17"/>
              </w:rPr>
              <w:t>Findings are confined to a single environment (Hanabi) or a single benchmark (Pommerman); Survey’s agenda remains high-level without cross-domain evidence.</w:t>
            </w:r>
          </w:p>
        </w:tc>
      </w:tr>
      <w:tr>
        <w:trPr>
          <w:cantSplit w:val="true"/>
        </w:trPr>
        <w:tc>
          <w:tcPr>
            <w:tcW w:type="dxa" w:w="4112"/>
            <w:shd w:val="clear" w:color="auto" w:fill="F2F4F7"/>
          </w:tcPr>
          <w:p>
            <w:pPr>
              <w:spacing w:after="0" w:line="264" w:lineRule="auto"/>
              <w:jc w:val="left"/>
            </w:pPr>
            <w:r>
              <w:rPr>
                <w:rFonts w:ascii="Arial" w:hAnsi="Arial" w:eastAsia="Arial" w:cs="Arial"/>
                <w:b/>
                <w:sz w:val="17"/>
              </w:rPr>
              <w:t>Ad-Hoc Communication Design</w:t>
            </w:r>
          </w:p>
        </w:tc>
        <w:tc>
          <w:tcPr>
            <w:tcW w:type="dxa" w:w="5753"/>
            <w:shd w:val="clear" w:color="auto" w:fill="F2F4F7"/>
          </w:tcPr>
          <w:p>
            <w:pPr>
              <w:spacing w:after="0" w:line="264" w:lineRule="auto"/>
              <w:jc w:val="left"/>
            </w:pPr>
            <w:r>
              <w:rPr>
                <w:rFonts w:ascii="Arial" w:hAnsi="Arial" w:eastAsia="Arial" w:cs="Arial"/>
                <w:sz w:val="17"/>
              </w:rPr>
              <w:t>Pommerman provides configurable channels but no principled design methodology; Survey calls for “more effective inter-agent communication protocols” without concrete proposals; Hanabi uses a fixed set of convention actions.</w:t>
            </w:r>
          </w:p>
        </w:tc>
      </w:tr>
    </w:tbl>
    <w:p>
      <w:pPr>
        <w:spacing w:before="80" w:after="200"/>
        <w:jc w:val="center"/>
      </w:pPr>
      <w:r>
        <w:rPr>
          <w:rFonts w:ascii="Arial" w:hAnsi="Arial" w:eastAsia="Arial" w:cs="Arial"/>
          <w:i/>
          <w:color w:val="444444"/>
          <w:sz w:val="17"/>
        </w:rPr>
        <w:t>Table 2: Common Limitations</w:t>
      </w:r>
    </w:p>
    <w:p>
      <w:pPr>
        <w:pStyle w:val="Heading2"/>
      </w:pPr>
      <w:r>
        <w:rPr>
          <w:rFonts w:ascii="Arial" w:hAnsi="Arial" w:eastAsia="Arial" w:cs="Arial"/>
        </w:rPr>
        <w:t>3.4 Identified Research Gap</w:t>
      </w:r>
    </w:p>
    <w:p>
      <w:pPr>
        <w:jc w:val="both"/>
      </w:pPr>
      <w:r>
        <w:rPr>
          <w:rFonts w:ascii="Arial" w:hAnsi="Arial" w:eastAsia="Arial" w:cs="Arial"/>
        </w:rPr>
        <w:t xml:space="preserve">&gt; </w:t>
      </w:r>
      <w:r>
        <w:rPr>
          <w:rFonts w:ascii="Arial" w:hAnsi="Arial" w:eastAsia="Arial" w:cs="Arial"/>
          <w:b/>
        </w:rPr>
        <w:t>A unified, empirically validated MARL framework that autonomously discovers, adapts, and evaluates communication protocols (both explicit and implicit) across diverse partially observable environments, while demonstrating scalable sample efficiency and robust performance on standardized benchmarks.</w:t>
      </w:r>
    </w:p>
    <w:p>
      <w:pPr>
        <w:jc w:val="both"/>
      </w:pPr>
      <w:r>
        <w:rPr>
          <w:rFonts w:ascii="Arial" w:hAnsi="Arial" w:eastAsia="Arial" w:cs="Arial"/>
        </w:rPr>
        <w:t xml:space="preserve">The gap comprises three intertwined deficiencies: (1) the absence of a </w:t>
      </w:r>
      <w:r>
        <w:rPr>
          <w:rFonts w:ascii="Arial" w:hAnsi="Arial" w:eastAsia="Arial" w:cs="Arial"/>
          <w:b/>
        </w:rPr>
        <w:t>cross-domain benchmark suite</w:t>
      </w:r>
      <w:r>
        <w:rPr>
          <w:rFonts w:ascii="Arial" w:hAnsi="Arial" w:eastAsia="Arial" w:cs="Arial"/>
        </w:rPr>
        <w:t xml:space="preserve"> that systematically varies the number of agents, cooperation/competition balance, and communication bandwidth; (2) the lack of </w:t>
      </w:r>
      <w:r>
        <w:rPr>
          <w:rFonts w:ascii="Arial" w:hAnsi="Arial" w:eastAsia="Arial" w:cs="Arial"/>
          <w:b/>
        </w:rPr>
        <w:t>algorithmic mechanisms</w:t>
      </w:r>
      <w:r>
        <w:rPr>
          <w:rFonts w:ascii="Arial" w:hAnsi="Arial" w:eastAsia="Arial" w:cs="Arial"/>
        </w:rPr>
        <w:t xml:space="preserve"> that can </w:t>
      </w:r>
      <w:r>
        <w:rPr>
          <w:rFonts w:ascii="Arial" w:hAnsi="Arial" w:eastAsia="Arial" w:cs="Arial"/>
          <w:b/>
        </w:rPr>
        <w:t>learn communication conventions</w:t>
      </w:r>
      <w:r>
        <w:rPr>
          <w:rFonts w:ascii="Arial" w:hAnsi="Arial" w:eastAsia="Arial" w:cs="Arial"/>
        </w:rPr>
        <w:t xml:space="preserve"> without manual specification; and (3) the need for </w:t>
      </w:r>
      <w:r>
        <w:rPr>
          <w:rFonts w:ascii="Arial" w:hAnsi="Arial" w:eastAsia="Arial" w:cs="Arial"/>
          <w:b/>
        </w:rPr>
        <w:t>rigorous empirical studies</w:t>
      </w:r>
      <w:r>
        <w:rPr>
          <w:rFonts w:ascii="Arial" w:hAnsi="Arial" w:eastAsia="Arial" w:cs="Arial"/>
        </w:rPr>
        <w:t xml:space="preserve"> that quantify scalability, sample efficiency, and robustness across these benchmarks.</w:t>
      </w:r>
    </w:p>
    <w:p>
      <w:pPr>
        <w:pStyle w:val="Heading2"/>
      </w:pPr>
      <w:r>
        <w:rPr>
          <w:rFonts w:ascii="Arial" w:hAnsi="Arial" w:eastAsia="Arial" w:cs="Arial"/>
        </w:rPr>
        <w:t>3.5 Future Research Directions</w:t>
      </w:r>
    </w:p>
    <w:p>
      <w:pPr>
        <w:tabs>
          <w:tab w:pos="510" w:val="left"/>
        </w:tabs>
        <w:spacing w:after="60"/>
        <w:ind w:left="510" w:hanging="340"/>
        <w:jc w:val="left"/>
      </w:pPr>
      <w:r>
        <w:rPr>
          <w:rFonts w:ascii="Arial" w:hAnsi="Arial" w:eastAsia="Arial" w:cs="Arial"/>
        </w:rPr>
        <w:t>1.</w:t>
        <w:tab/>
      </w:r>
      <w:r>
        <w:rPr>
          <w:rFonts w:ascii="Arial" w:hAnsi="Arial" w:eastAsia="Arial" w:cs="Arial"/>
          <w:b/>
        </w:rPr>
        <w:t>Standardized Multi-Domain Benchmark Suite</w:t>
      </w:r>
      <w:r>
        <w:rPr>
          <w:rFonts w:ascii="Arial" w:hAnsi="Arial" w:eastAsia="Arial" w:cs="Arial"/>
        </w:rPr>
        <w:t xml:space="preserve"> – Extend Pommerman’s scenario library to include variable agent counts, richer map topologies, and diverse communication modalities; integrate additional environments (e.g., cooperative navigation, rescue simulations) to enable cross-benchmark evaluation.</w:t>
      </w:r>
    </w:p>
    <w:p>
      <w:pPr>
        <w:tabs>
          <w:tab w:pos="510" w:val="left"/>
        </w:tabs>
        <w:spacing w:after="60"/>
        <w:ind w:left="510" w:hanging="340"/>
        <w:jc w:val="left"/>
      </w:pPr>
      <w:r>
        <w:rPr>
          <w:rFonts w:ascii="Arial" w:hAnsi="Arial" w:eastAsia="Arial" w:cs="Arial"/>
        </w:rPr>
        <w:t>2.</w:t>
        <w:tab/>
      </w:r>
      <w:r>
        <w:rPr>
          <w:rFonts w:ascii="Arial" w:hAnsi="Arial" w:eastAsia="Arial" w:cs="Arial"/>
          <w:b/>
        </w:rPr>
        <w:t>Automated Convention Discovery</w:t>
      </w:r>
      <w:r>
        <w:rPr>
          <w:rFonts w:ascii="Arial" w:hAnsi="Arial" w:eastAsia="Arial" w:cs="Arial"/>
        </w:rPr>
        <w:t xml:space="preserve"> – Develop meta-learning or self-play mechanisms that allow agents to invent and refine implicit communication conventions, building on the success of human-derived conventions in Hanabi but removing the need for manual encoding.</w:t>
      </w:r>
    </w:p>
    <w:p>
      <w:pPr>
        <w:tabs>
          <w:tab w:pos="510" w:val="left"/>
        </w:tabs>
        <w:spacing w:after="60"/>
        <w:ind w:left="510" w:hanging="340"/>
        <w:jc w:val="left"/>
      </w:pPr>
      <w:r>
        <w:rPr>
          <w:rFonts w:ascii="Arial" w:hAnsi="Arial" w:eastAsia="Arial" w:cs="Arial"/>
        </w:rPr>
        <w:t>3.</w:t>
        <w:tab/>
      </w:r>
      <w:r>
        <w:rPr>
          <w:rFonts w:ascii="Arial" w:hAnsi="Arial" w:eastAsia="Arial" w:cs="Arial"/>
          <w:b/>
        </w:rPr>
        <w:t>Hybrid Communication Architectures</w:t>
      </w:r>
      <w:r>
        <w:rPr>
          <w:rFonts w:ascii="Arial" w:hAnsi="Arial" w:eastAsia="Arial" w:cs="Arial"/>
        </w:rPr>
        <w:t xml:space="preserve"> – Combine explicit message passing with learned implicit conventions, investigating trade-offs between bandwidth, latency, and coordination effectiveness.</w:t>
      </w:r>
    </w:p>
    <w:p>
      <w:pPr>
        <w:tabs>
          <w:tab w:pos="510" w:val="left"/>
        </w:tabs>
        <w:spacing w:after="60"/>
        <w:ind w:left="510" w:hanging="340"/>
        <w:jc w:val="left"/>
      </w:pPr>
      <w:r>
        <w:rPr>
          <w:rFonts w:ascii="Arial" w:hAnsi="Arial" w:eastAsia="Arial" w:cs="Arial"/>
        </w:rPr>
        <w:t>4.</w:t>
        <w:tab/>
      </w:r>
      <w:r>
        <w:rPr>
          <w:rFonts w:ascii="Arial" w:hAnsi="Arial" w:eastAsia="Arial" w:cs="Arial"/>
          <w:b/>
        </w:rPr>
        <w:t>Scalable Sample-Efficiency Techniques</w:t>
      </w:r>
      <w:r>
        <w:rPr>
          <w:rFonts w:ascii="Arial" w:hAnsi="Arial" w:eastAsia="Arial" w:cs="Arial"/>
        </w:rPr>
        <w:t xml:space="preserve"> – Systematically evaluate auxiliary learning signals (intrinsic motivation, curriculum learning, causal inference) within MARL pipelines to quantify their impact on data requirements across benchmarks.</w:t>
      </w:r>
    </w:p>
    <w:p>
      <w:pPr>
        <w:tabs>
          <w:tab w:pos="510" w:val="left"/>
        </w:tabs>
        <w:spacing w:after="60"/>
        <w:ind w:left="510" w:hanging="340"/>
        <w:jc w:val="left"/>
      </w:pPr>
      <w:r>
        <w:rPr>
          <w:rFonts w:ascii="Arial" w:hAnsi="Arial" w:eastAsia="Arial" w:cs="Arial"/>
        </w:rPr>
        <w:t>5.</w:t>
        <w:tab/>
      </w:r>
      <w:r>
        <w:rPr>
          <w:rFonts w:ascii="Arial" w:hAnsi="Arial" w:eastAsia="Arial" w:cs="Arial"/>
          <w:b/>
        </w:rPr>
        <w:t>Robustness and Generalization Analyses</w:t>
      </w:r>
      <w:r>
        <w:rPr>
          <w:rFonts w:ascii="Arial" w:hAnsi="Arial" w:eastAsia="Arial" w:cs="Arial"/>
        </w:rPr>
        <w:t xml:space="preserve"> – Test learned communication protocols under noisy observations, adversarial agents, and mismatched convention sets to assess resilience and transferability.</w:t>
      </w:r>
    </w:p>
    <w:p>
      <w:pPr>
        <w:pStyle w:val="Heading1"/>
      </w:pPr>
      <w:r>
        <w:rPr>
          <w:rFonts w:ascii="Arial" w:hAnsi="Arial" w:eastAsia="Arial" w:cs="Arial"/>
        </w:rPr>
        <w:t>4. Proposed MAARA System</w:t>
      </w:r>
    </w:p>
    <w:p>
      <w:pPr>
        <w:jc w:val="both"/>
      </w:pPr>
      <w:r>
        <w:rPr>
          <w:rFonts w:ascii="Arial" w:hAnsi="Arial" w:eastAsia="Arial" w:cs="Arial"/>
          <w:b/>
        </w:rPr>
        <w:t>MAARA</w:t>
      </w:r>
      <w:r>
        <w:rPr>
          <w:rFonts w:ascii="Arial" w:hAnsi="Arial" w:eastAsia="Arial" w:cs="Arial"/>
        </w:rPr>
        <w:t xml:space="preserve"> (Multi-Agent AI Research Assistant) is envisioned as a modular software platform that assists researchers throughout the MAAI investigative cycle. MAARA does </w:t>
      </w:r>
      <w:r>
        <w:rPr>
          <w:rFonts w:ascii="Arial" w:hAnsi="Arial" w:eastAsia="Arial" w:cs="Arial"/>
          <w:b/>
        </w:rPr>
        <w:t>not</w:t>
      </w:r>
      <w:r>
        <w:rPr>
          <w:rFonts w:ascii="Arial" w:hAnsi="Arial" w:eastAsia="Arial" w:cs="Arial"/>
        </w:rPr>
        <w:t xml:space="preserve"> claim to solve the identified research gaps experimentally; rather, it streamlines the acquisition, synthesis, and analysis of relevant literature, thereby accelerating hypothesis generation and experimental design.</w:t>
      </w:r>
    </w:p>
    <w:p>
      <w:pPr>
        <w:pStyle w:val="Heading2"/>
      </w:pPr>
      <w:r>
        <w:rPr>
          <w:rFonts w:ascii="Arial" w:hAnsi="Arial" w:eastAsia="Arial" w:cs="Arial"/>
        </w:rPr>
        <w:t>Core Components</w:t>
      </w:r>
    </w:p>
    <w:p>
      <w:pPr>
        <w:tabs>
          <w:tab w:pos="510" w:val="left"/>
        </w:tabs>
        <w:spacing w:after="60"/>
        <w:ind w:left="510" w:hanging="340"/>
        <w:jc w:val="left"/>
      </w:pPr>
      <w:r>
        <w:rPr>
          <w:rFonts w:ascii="Arial" w:hAnsi="Arial" w:eastAsia="Arial" w:cs="Arial"/>
        </w:rPr>
        <w:t>1.</w:t>
        <w:tab/>
      </w:r>
      <w:r>
        <w:rPr>
          <w:rFonts w:ascii="Arial" w:hAnsi="Arial" w:eastAsia="Arial" w:cs="Arial"/>
          <w:b/>
        </w:rPr>
        <w:t>Search Agent</w:t>
      </w:r>
      <w:r>
        <w:rPr>
          <w:rFonts w:ascii="Arial" w:hAnsi="Arial" w:eastAsia="Arial" w:cs="Arial"/>
        </w:rPr>
        <w:t xml:space="preserve"> – Interfaces with scholarly databases and pre-print repositories to retrieve documents matching a user-specified research topic (e.g., “Multi-Agent AI”). Employs keyword expansion, citation graph traversal, and relevance feedback to maximize coverage.</w:t>
      </w:r>
    </w:p>
    <w:p>
      <w:pPr>
        <w:tabs>
          <w:tab w:pos="510" w:val="left"/>
        </w:tabs>
        <w:spacing w:after="60"/>
        <w:ind w:left="510" w:hanging="340"/>
        <w:jc w:val="left"/>
      </w:pPr>
      <w:r>
        <w:rPr>
          <w:rFonts w:ascii="Arial" w:hAnsi="Arial" w:eastAsia="Arial" w:cs="Arial"/>
        </w:rPr>
        <w:t>2.</w:t>
        <w:tab/>
      </w:r>
      <w:r>
        <w:rPr>
          <w:rFonts w:ascii="Arial" w:hAnsi="Arial" w:eastAsia="Arial" w:cs="Arial"/>
          <w:b/>
        </w:rPr>
        <w:t>Paper Retrieval</w:t>
      </w:r>
      <w:r>
        <w:rPr>
          <w:rFonts w:ascii="Arial" w:hAnsi="Arial" w:eastAsia="Arial" w:cs="Arial"/>
        </w:rPr>
        <w:t xml:space="preserve"> – Downloads full-text PDFs or HTML versions of identified papers, handling access restrictions where possible and storing metadata (title, authors, venue, abstract).</w:t>
      </w:r>
    </w:p>
    <w:p>
      <w:pPr>
        <w:tabs>
          <w:tab w:pos="510" w:val="left"/>
        </w:tabs>
        <w:spacing w:after="60"/>
        <w:ind w:left="510" w:hanging="340"/>
        <w:jc w:val="left"/>
      </w:pPr>
      <w:r>
        <w:rPr>
          <w:rFonts w:ascii="Arial" w:hAnsi="Arial" w:eastAsia="Arial" w:cs="Arial"/>
        </w:rPr>
        <w:t>3.</w:t>
        <w:tab/>
      </w:r>
      <w:r>
        <w:rPr>
          <w:rFonts w:ascii="Arial" w:hAnsi="Arial" w:eastAsia="Arial" w:cs="Arial"/>
          <w:b/>
        </w:rPr>
        <w:t>Paper Ranking</w:t>
      </w:r>
      <w:r>
        <w:rPr>
          <w:rFonts w:ascii="Arial" w:hAnsi="Arial" w:eastAsia="Arial" w:cs="Arial"/>
        </w:rPr>
        <w:t xml:space="preserve"> – Applies a multi-criteria scoring model that considers citation count, venue prestige, recency, and textual relevance to the target topic, producing a prioritized list for downstream processing.</w:t>
      </w:r>
    </w:p>
    <w:p>
      <w:pPr>
        <w:tabs>
          <w:tab w:pos="510" w:val="left"/>
        </w:tabs>
        <w:spacing w:after="60"/>
        <w:ind w:left="510" w:hanging="340"/>
        <w:jc w:val="left"/>
      </w:pPr>
      <w:r>
        <w:rPr>
          <w:rFonts w:ascii="Arial" w:hAnsi="Arial" w:eastAsia="Arial" w:cs="Arial"/>
        </w:rPr>
        <w:t>4.</w:t>
        <w:tab/>
      </w:r>
      <w:r>
        <w:rPr>
          <w:rFonts w:ascii="Arial" w:hAnsi="Arial" w:eastAsia="Arial" w:cs="Arial"/>
          <w:b/>
        </w:rPr>
        <w:t>Summarization Agent</w:t>
      </w:r>
      <w:r>
        <w:rPr>
          <w:rFonts w:ascii="Arial" w:hAnsi="Arial" w:eastAsia="Arial" w:cs="Arial"/>
        </w:rPr>
        <w:t xml:space="preserve"> – Generates concise, structured summaries (objective, methodology, findings, limitations) using natural-language processing pipelines that extract salient sentences and synthesize them into the format required for literature reviews.</w:t>
      </w:r>
    </w:p>
    <w:p>
      <w:pPr>
        <w:tabs>
          <w:tab w:pos="510" w:val="left"/>
        </w:tabs>
        <w:spacing w:after="60"/>
        <w:ind w:left="510" w:hanging="340"/>
        <w:jc w:val="left"/>
      </w:pPr>
      <w:r>
        <w:rPr>
          <w:rFonts w:ascii="Arial" w:hAnsi="Arial" w:eastAsia="Arial" w:cs="Arial"/>
        </w:rPr>
        <w:t>5.</w:t>
        <w:tab/>
      </w:r>
      <w:r>
        <w:rPr>
          <w:rFonts w:ascii="Arial" w:hAnsi="Arial" w:eastAsia="Arial" w:cs="Arial"/>
          <w:b/>
        </w:rPr>
        <w:t>Critic / Research Gap Analysis</w:t>
      </w:r>
      <w:r>
        <w:rPr>
          <w:rFonts w:ascii="Arial" w:hAnsi="Arial" w:eastAsia="Arial" w:cs="Arial"/>
        </w:rPr>
        <w:t xml:space="preserve"> – Compares extracted summaries across the corpus, identifies overlapping themes, common techniques, and recurring limitations, and automatically drafts a gap analysis section highlighting both explicitly stated gaps and those inferred from the comparative synthesis.</w:t>
      </w:r>
    </w:p>
    <w:p>
      <w:pPr>
        <w:tabs>
          <w:tab w:pos="510" w:val="left"/>
        </w:tabs>
        <w:spacing w:after="60"/>
        <w:ind w:left="510" w:hanging="340"/>
        <w:jc w:val="left"/>
      </w:pPr>
      <w:r>
        <w:rPr>
          <w:rFonts w:ascii="Arial" w:hAnsi="Arial" w:eastAsia="Arial" w:cs="Arial"/>
        </w:rPr>
        <w:t>6.</w:t>
        <w:tab/>
      </w:r>
      <w:r>
        <w:rPr>
          <w:rFonts w:ascii="Arial" w:hAnsi="Arial" w:eastAsia="Arial" w:cs="Arial"/>
          <w:b/>
        </w:rPr>
        <w:t>Report Writer</w:t>
      </w:r>
      <w:r>
        <w:rPr>
          <w:rFonts w:ascii="Arial" w:hAnsi="Arial" w:eastAsia="Arial" w:cs="Arial"/>
        </w:rPr>
        <w:t xml:space="preserve"> – Assembles the final research report by populating predefined sections (abstract, introduction, literature review, gap analysis, proposed system description, workflow, limitations, future scope, conclusion, references) with the content produced by the previous modules, ensuring coherence, proper academic style, and adherence to user-specified length constraints.</w:t>
      </w:r>
    </w:p>
    <w:p>
      <w:pPr>
        <w:tabs>
          <w:tab w:pos="510" w:val="left"/>
        </w:tabs>
        <w:spacing w:after="60"/>
        <w:ind w:left="510" w:hanging="340"/>
        <w:jc w:val="left"/>
      </w:pPr>
      <w:r>
        <w:rPr>
          <w:rFonts w:ascii="Arial" w:hAnsi="Arial" w:eastAsia="Arial" w:cs="Arial"/>
        </w:rPr>
        <w:t>7.</w:t>
        <w:tab/>
      </w:r>
      <w:r>
        <w:rPr>
          <w:rFonts w:ascii="Arial" w:hAnsi="Arial" w:eastAsia="Arial" w:cs="Arial"/>
          <w:b/>
        </w:rPr>
        <w:t>Final Research Report</w:t>
      </w:r>
      <w:r>
        <w:rPr>
          <w:rFonts w:ascii="Arial" w:hAnsi="Arial" w:eastAsia="Arial" w:cs="Arial"/>
        </w:rPr>
        <w:t xml:space="preserve"> – Outputs a polished, citation-ready document in a format (e.g., Markdown, LaTeX) suitable for immediate inclusion in a research manuscript or grant proposal.</w:t>
      </w:r>
    </w:p>
    <w:p>
      <w:pPr>
        <w:jc w:val="both"/>
      </w:pPr>
      <w:r>
        <w:rPr>
          <w:rFonts w:ascii="Arial" w:hAnsi="Arial" w:eastAsia="Arial" w:cs="Arial"/>
        </w:rPr>
        <w:t>MAARA’s architecture is deliberately modular, allowing each component to be upgraded independently (e.g., swapping a transformer-based summarizer for a newer model) without disrupting the overall workflow.</w:t>
      </w:r>
    </w:p>
    <w:p>
      <w:pPr>
        <w:pStyle w:val="Heading1"/>
      </w:pPr>
      <w:r>
        <w:rPr>
          <w:rFonts w:ascii="Arial" w:hAnsi="Arial" w:eastAsia="Arial" w:cs="Arial"/>
        </w:rPr>
        <w:t>5. System Workflow</w:t>
      </w:r>
    </w:p>
    <w:p>
      <w:pPr>
        <w:jc w:val="both"/>
      </w:pPr>
      <w:r>
        <w:rPr>
          <w:rFonts w:ascii="Courier New" w:hAnsi="Courier New"/>
        </w:rPr>
        <w:t>`</w:t>
      </w:r>
      <w:r>
        <w:rPr>
          <w:rFonts w:ascii="Arial" w:hAnsi="Arial" w:eastAsia="Arial" w:cs="Arial"/>
        </w:rPr>
        <w:t xml:space="preserve"> Research Topic ↓ Search Agent ↓ Paper Retrieval ↓ Paper Ranking ↓ Summarization ↓ Critic / Gap Analysis ↓ Report Writer ↓ Final Research Report </w:t>
      </w:r>
      <w:r>
        <w:rPr>
          <w:rFonts w:ascii="Courier New" w:hAnsi="Courier New"/>
        </w:rPr>
        <w:t>`</w:t>
      </w:r>
    </w:p>
    <w:p>
      <w:pPr>
        <w:tabs>
          <w:tab w:pos="510" w:val="left"/>
        </w:tabs>
        <w:spacing w:after="60"/>
        <w:ind w:left="510" w:hanging="340"/>
        <w:jc w:val="left"/>
      </w:pPr>
      <w:r>
        <w:rPr>
          <w:rFonts w:ascii="Arial" w:hAnsi="Arial" w:eastAsia="Arial" w:cs="Arial"/>
        </w:rPr>
        <w:t>1.</w:t>
        <w:tab/>
      </w:r>
      <w:r>
        <w:rPr>
          <w:rFonts w:ascii="Arial" w:hAnsi="Arial" w:eastAsia="Arial" w:cs="Arial"/>
          <w:b/>
        </w:rPr>
        <w:t>Research Topic</w:t>
      </w:r>
      <w:r>
        <w:rPr>
          <w:rFonts w:ascii="Arial" w:hAnsi="Arial" w:eastAsia="Arial" w:cs="Arial"/>
        </w:rPr>
        <w:t xml:space="preserve"> – The user specifies “Multi-Agent AI”.</w:t>
      </w:r>
    </w:p>
    <w:p>
      <w:pPr>
        <w:tabs>
          <w:tab w:pos="510" w:val="left"/>
        </w:tabs>
        <w:spacing w:after="60"/>
        <w:ind w:left="510" w:hanging="340"/>
        <w:jc w:val="left"/>
      </w:pPr>
      <w:r>
        <w:rPr>
          <w:rFonts w:ascii="Arial" w:hAnsi="Arial" w:eastAsia="Arial" w:cs="Arial"/>
        </w:rPr>
        <w:t>2.</w:t>
        <w:tab/>
      </w:r>
      <w:r>
        <w:rPr>
          <w:rFonts w:ascii="Arial" w:hAnsi="Arial" w:eastAsia="Arial" w:cs="Arial"/>
          <w:b/>
        </w:rPr>
        <w:t>Search Agent</w:t>
      </w:r>
      <w:r>
        <w:rPr>
          <w:rFonts w:ascii="Arial" w:hAnsi="Arial" w:eastAsia="Arial" w:cs="Arial"/>
        </w:rPr>
        <w:t xml:space="preserve"> queries scholarly APIs, returning a candidate set of papers.</w:t>
      </w:r>
    </w:p>
    <w:p>
      <w:pPr>
        <w:tabs>
          <w:tab w:pos="510" w:val="left"/>
        </w:tabs>
        <w:spacing w:after="60"/>
        <w:ind w:left="510" w:hanging="340"/>
        <w:jc w:val="left"/>
      </w:pPr>
      <w:r>
        <w:rPr>
          <w:rFonts w:ascii="Arial" w:hAnsi="Arial" w:eastAsia="Arial" w:cs="Arial"/>
        </w:rPr>
        <w:t>3.</w:t>
        <w:tab/>
      </w:r>
      <w:r>
        <w:rPr>
          <w:rFonts w:ascii="Arial" w:hAnsi="Arial" w:eastAsia="Arial" w:cs="Arial"/>
          <w:b/>
        </w:rPr>
        <w:t>Paper Retrieval</w:t>
      </w:r>
      <w:r>
        <w:rPr>
          <w:rFonts w:ascii="Arial" w:hAnsi="Arial" w:eastAsia="Arial" w:cs="Arial"/>
        </w:rPr>
        <w:t xml:space="preserve"> downloads the full texts and extracts metadata.</w:t>
      </w:r>
    </w:p>
    <w:p>
      <w:pPr>
        <w:tabs>
          <w:tab w:pos="510" w:val="left"/>
        </w:tabs>
        <w:spacing w:after="60"/>
        <w:ind w:left="510" w:hanging="340"/>
        <w:jc w:val="left"/>
      </w:pPr>
      <w:r>
        <w:rPr>
          <w:rFonts w:ascii="Arial" w:hAnsi="Arial" w:eastAsia="Arial" w:cs="Arial"/>
        </w:rPr>
        <w:t>4.</w:t>
        <w:tab/>
      </w:r>
      <w:r>
        <w:rPr>
          <w:rFonts w:ascii="Arial" w:hAnsi="Arial" w:eastAsia="Arial" w:cs="Arial"/>
          <w:b/>
        </w:rPr>
        <w:t>Paper Ranking</w:t>
      </w:r>
      <w:r>
        <w:rPr>
          <w:rFonts w:ascii="Arial" w:hAnsi="Arial" w:eastAsia="Arial" w:cs="Arial"/>
        </w:rPr>
        <w:t xml:space="preserve"> orders the papers by relevance and impact.</w:t>
      </w:r>
    </w:p>
    <w:p>
      <w:pPr>
        <w:tabs>
          <w:tab w:pos="510" w:val="left"/>
        </w:tabs>
        <w:spacing w:after="60"/>
        <w:ind w:left="510" w:hanging="340"/>
        <w:jc w:val="left"/>
      </w:pPr>
      <w:r>
        <w:rPr>
          <w:rFonts w:ascii="Arial" w:hAnsi="Arial" w:eastAsia="Arial" w:cs="Arial"/>
        </w:rPr>
        <w:t>5.</w:t>
        <w:tab/>
      </w:r>
      <w:r>
        <w:rPr>
          <w:rFonts w:ascii="Arial" w:hAnsi="Arial" w:eastAsia="Arial" w:cs="Arial"/>
          <w:b/>
        </w:rPr>
        <w:t>Summarization</w:t>
      </w:r>
      <w:r>
        <w:rPr>
          <w:rFonts w:ascii="Arial" w:hAnsi="Arial" w:eastAsia="Arial" w:cs="Arial"/>
        </w:rPr>
        <w:t xml:space="preserve"> produces structured abstracts for each paper.</w:t>
      </w:r>
    </w:p>
    <w:p>
      <w:pPr>
        <w:tabs>
          <w:tab w:pos="510" w:val="left"/>
        </w:tabs>
        <w:spacing w:after="60"/>
        <w:ind w:left="510" w:hanging="340"/>
        <w:jc w:val="left"/>
      </w:pPr>
      <w:r>
        <w:rPr>
          <w:rFonts w:ascii="Arial" w:hAnsi="Arial" w:eastAsia="Arial" w:cs="Arial"/>
        </w:rPr>
        <w:t>6.</w:t>
        <w:tab/>
      </w:r>
      <w:r>
        <w:rPr>
          <w:rFonts w:ascii="Arial" w:hAnsi="Arial" w:eastAsia="Arial" w:cs="Arial"/>
          <w:b/>
        </w:rPr>
        <w:t>Critic / Gap Analysis</w:t>
      </w:r>
      <w:r>
        <w:rPr>
          <w:rFonts w:ascii="Arial" w:hAnsi="Arial" w:eastAsia="Arial" w:cs="Arial"/>
        </w:rPr>
        <w:t xml:space="preserve"> cross-examines the summaries, highlighting common methods, shared limitations, and open problems.</w:t>
      </w:r>
    </w:p>
    <w:p>
      <w:pPr>
        <w:tabs>
          <w:tab w:pos="510" w:val="left"/>
        </w:tabs>
        <w:spacing w:after="60"/>
        <w:ind w:left="510" w:hanging="340"/>
        <w:jc w:val="left"/>
      </w:pPr>
      <w:r>
        <w:rPr>
          <w:rFonts w:ascii="Arial" w:hAnsi="Arial" w:eastAsia="Arial" w:cs="Arial"/>
        </w:rPr>
        <w:t>7.</w:t>
        <w:tab/>
      </w:r>
      <w:r>
        <w:rPr>
          <w:rFonts w:ascii="Arial" w:hAnsi="Arial" w:eastAsia="Arial" w:cs="Arial"/>
          <w:b/>
        </w:rPr>
        <w:t>Report Writer</w:t>
      </w:r>
      <w:r>
        <w:rPr>
          <w:rFonts w:ascii="Arial" w:hAnsi="Arial" w:eastAsia="Arial" w:cs="Arial"/>
        </w:rPr>
        <w:t xml:space="preserve"> integrates the synthesized material into the predefined report template.</w:t>
      </w:r>
    </w:p>
    <w:p>
      <w:pPr>
        <w:tabs>
          <w:tab w:pos="510" w:val="left"/>
        </w:tabs>
        <w:spacing w:after="60"/>
        <w:ind w:left="510" w:hanging="340"/>
        <w:jc w:val="left"/>
      </w:pPr>
      <w:r>
        <w:rPr>
          <w:rFonts w:ascii="Arial" w:hAnsi="Arial" w:eastAsia="Arial" w:cs="Arial"/>
        </w:rPr>
        <w:t>8.</w:t>
        <w:tab/>
      </w:r>
      <w:r>
        <w:rPr>
          <w:rFonts w:ascii="Arial" w:hAnsi="Arial" w:eastAsia="Arial" w:cs="Arial"/>
          <w:b/>
        </w:rPr>
        <w:t>Final Research Report</w:t>
      </w:r>
      <w:r>
        <w:rPr>
          <w:rFonts w:ascii="Arial" w:hAnsi="Arial" w:eastAsia="Arial" w:cs="Arial"/>
        </w:rPr>
        <w:t xml:space="preserve"> is delivered to the user for review, editing, or submission.</w:t>
      </w:r>
    </w:p>
    <w:p>
      <w:pPr>
        <w:pStyle w:val="Heading1"/>
      </w:pPr>
      <w:r>
        <w:rPr>
          <w:rFonts w:ascii="Arial" w:hAnsi="Arial" w:eastAsia="Arial" w:cs="Arial"/>
        </w:rPr>
        <w:t>6. Limitations</w:t>
      </w:r>
    </w:p>
    <w:p>
      <w:pPr>
        <w:pStyle w:val="Heading2"/>
      </w:pPr>
      <w:r>
        <w:rPr>
          <w:rFonts w:ascii="Arial" w:hAnsi="Arial" w:eastAsia="Arial" w:cs="Arial"/>
        </w:rPr>
        <w:t>Limitations of the Reviewed Research</w:t>
      </w:r>
    </w:p>
    <w:p>
      <w:pPr>
        <w:tabs>
          <w:tab w:pos="510" w:val="left"/>
        </w:tabs>
        <w:spacing w:after="60"/>
        <w:ind w:left="510" w:hanging="340"/>
        <w:jc w:val="left"/>
      </w:pPr>
      <w:r>
        <w:rPr>
          <w:rFonts w:ascii="Arial" w:hAnsi="Arial" w:eastAsia="Arial" w:cs="Arial"/>
        </w:rPr>
        <w:t>•</w:t>
        <w:tab/>
      </w:r>
      <w:r>
        <w:rPr>
          <w:rFonts w:ascii="Arial" w:hAnsi="Arial" w:eastAsia="Arial" w:cs="Arial"/>
          <w:b/>
        </w:rPr>
        <w:t>Empirical Deficiency</w:t>
      </w:r>
      <w:r>
        <w:rPr>
          <w:rFonts w:ascii="Arial" w:hAnsi="Arial" w:eastAsia="Arial" w:cs="Arial"/>
        </w:rPr>
        <w:t>: None of the three papers provide extensive quantitative evaluations, hindering objective assessment of proposed methods.</w:t>
      </w:r>
    </w:p>
    <w:p>
      <w:pPr>
        <w:tabs>
          <w:tab w:pos="510" w:val="left"/>
        </w:tabs>
        <w:spacing w:after="60"/>
        <w:ind w:left="510" w:hanging="340"/>
        <w:jc w:val="left"/>
      </w:pPr>
      <w:r>
        <w:rPr>
          <w:rFonts w:ascii="Arial" w:hAnsi="Arial" w:eastAsia="Arial" w:cs="Arial"/>
        </w:rPr>
        <w:t>•</w:t>
        <w:tab/>
      </w:r>
      <w:r>
        <w:rPr>
          <w:rFonts w:ascii="Arial" w:hAnsi="Arial" w:eastAsia="Arial" w:cs="Arial"/>
          <w:b/>
        </w:rPr>
        <w:t>Scalability Constraints</w:t>
      </w:r>
      <w:r>
        <w:rPr>
          <w:rFonts w:ascii="Arial" w:hAnsi="Arial" w:eastAsia="Arial" w:cs="Arial"/>
        </w:rPr>
        <w:t>: Experiments are limited to small agent populations (&lt;= 5 agents), leaving open the behavior of proposed techniques in larger systems.</w:t>
      </w:r>
    </w:p>
    <w:p>
      <w:pPr>
        <w:tabs>
          <w:tab w:pos="510" w:val="left"/>
        </w:tabs>
        <w:spacing w:after="60"/>
        <w:ind w:left="510" w:hanging="340"/>
        <w:jc w:val="left"/>
      </w:pPr>
      <w:r>
        <w:rPr>
          <w:rFonts w:ascii="Arial" w:hAnsi="Arial" w:eastAsia="Arial" w:cs="Arial"/>
        </w:rPr>
        <w:t>•</w:t>
        <w:tab/>
      </w:r>
      <w:r>
        <w:rPr>
          <w:rFonts w:ascii="Arial" w:hAnsi="Arial" w:eastAsia="Arial" w:cs="Arial"/>
          <w:b/>
        </w:rPr>
        <w:t>Hand-Engineered Knowledge</w:t>
      </w:r>
      <w:r>
        <w:rPr>
          <w:rFonts w:ascii="Arial" w:hAnsi="Arial" w:eastAsia="Arial" w:cs="Arial"/>
        </w:rPr>
        <w:t>: The Hanabi approach relies on manually supplied conventions, which may not exist</w:t>
      </w:r>
    </w:p>
    <w:sectPr w:rsidR="00FC693F" w:rsidRPr="0006063C" w:rsidSect="00034616">
      <w:headerReference w:type="default" r:id="rId9"/>
      <w:footerReference w:type="default" r:id="rId10"/>
      <w:pgSz w:w="11906" w:h="16838"/>
      <w:pgMar w:top="1361" w:right="1020" w:bottom="1247" w:left="1020"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4" w:color="BFC5CE"/>
      </w:pBdr>
      <w:tabs>
        <w:tab w:pos="9865" w:val="right"/>
      </w:tabs>
      <w:spacing w:before="0"/>
    </w:pPr>
    <w:r/>
    <w:r>
      <w:rPr>
        <w:rFonts w:ascii="Arial" w:hAnsi="Arial" w:eastAsia="Arial" w:cs="Arial"/>
        <w:color w:val="444444"/>
        <w:sz w:val="15"/>
      </w:rPr>
      <w:t>Multi-Agent AI Research Assistant (MAARA) | Pratibha Gupta</w:t>
    </w:r>
    <w:r>
      <w:rPr>
        <w:rFonts w:ascii="Arial" w:hAnsi="Arial" w:eastAsia="Arial" w:cs="Arial"/>
        <w:color w:val="444444"/>
        <w:sz w:val="15"/>
      </w:rPr>
      <w:tab/>
      <w:t xml:space="preserve">Page </w:t>
    </w:r>
    <w:r>
      <w:rPr>
        <w:rFonts w:ascii="Arial" w:hAnsi="Arial" w:eastAsia="Arial" w:cs="Arial"/>
        <w:color w:val="444444"/>
        <w:sz w:val="15"/>
      </w:rPr>
      <w:fldChar w:fldCharType="begin"/>
    </w:r>
    <w:r>
      <w:rPr>
        <w:rFonts w:ascii="Arial" w:hAnsi="Arial" w:eastAsia="Arial" w:cs="Arial"/>
        <w:color w:val="444444"/>
        <w:sz w:val="15"/>
      </w:rPr>
      <w:instrText xml:space="preserve"> PAGE </w:instrText>
    </w:r>
    <w:r>
      <w:rPr>
        <w:rFonts w:ascii="Arial" w:hAnsi="Arial" w:eastAsia="Arial" w:cs="Arial"/>
        <w:color w:val="444444"/>
        <w:sz w:val="15"/>
      </w:rPr>
      <w:fldChar w:fldCharType="separate"/>
    </w:r>
    <w:r>
      <w:rPr>
        <w:rFonts w:ascii="Arial" w:hAnsi="Arial" w:eastAsia="Arial" w:cs="Arial"/>
        <w:color w:val="444444"/>
        <w:sz w:val="15"/>
      </w:rPr>
      <w:t>1</w:t>
    </w:r>
    <w:r>
      <w:rPr>
        <w:rFonts w:ascii="Arial" w:hAnsi="Arial" w:eastAsia="Arial" w:cs="Arial"/>
        <w:color w:val="444444"/>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BFC5CE"/>
      </w:pBdr>
      <w:tabs>
        <w:tab w:pos="9865" w:val="right"/>
      </w:tabs>
      <w:spacing w:after="0"/>
    </w:pPr>
    <w:r/>
    <w:r>
      <w:rPr>
        <w:rFonts w:ascii="Arial" w:hAnsi="Arial" w:eastAsia="Arial" w:cs="Arial"/>
        <w:color w:val="444444"/>
        <w:sz w:val="16"/>
      </w:rPr>
      <w:t>MAARA — Final Research Report</w:t>
    </w:r>
    <w:r>
      <w:rPr>
        <w:rFonts w:ascii="Arial" w:hAnsi="Arial" w:eastAsia="Arial" w:cs="Arial"/>
        <w:color w:val="444444"/>
        <w:sz w:val="16"/>
      </w:rPr>
      <w:tab/>
      <w:t>Dept. of AI &amp; Data Science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eastAsia="Arial" w:cs="Arial"/>
      <w:sz w:val="20"/>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line="264" w:lineRule="auto"/>
      <w:outlineLvl w:val="0"/>
    </w:pPr>
    <w:rPr>
      <w:rFonts w:ascii="Arial" w:hAnsi="Arial" w:eastAsia="Arial" w:cs="Arial"/>
      <w:b/>
      <w:bCs/>
      <w:i w:val="0"/>
      <w:color w:val="1F3864"/>
      <w:sz w:val="30"/>
      <w:szCs w:val="28"/>
    </w:rPr>
  </w:style>
  <w:style w:type="paragraph" w:styleId="Heading2">
    <w:name w:val="heading 2"/>
    <w:basedOn w:val="Normal"/>
    <w:next w:val="Normal"/>
    <w:link w:val="Heading2Char"/>
    <w:uiPriority w:val="9"/>
    <w:unhideWhenUsed/>
    <w:qFormat/>
    <w:rsid w:val="00FC693F"/>
    <w:pPr>
      <w:keepNext/>
      <w:keepLines/>
      <w:spacing w:before="240" w:after="100" w:line="264" w:lineRule="auto"/>
      <w:outlineLvl w:val="1"/>
    </w:pPr>
    <w:rPr>
      <w:rFonts w:ascii="Arial" w:hAnsi="Arial" w:eastAsia="Arial" w:cs="Arial"/>
      <w:b/>
      <w:bCs/>
      <w:i w:val="0"/>
      <w:color w:val="1F3864"/>
      <w:sz w:val="25"/>
      <w:szCs w:val="26"/>
    </w:rPr>
  </w:style>
  <w:style w:type="paragraph" w:styleId="Heading3">
    <w:name w:val="heading 3"/>
    <w:basedOn w:val="Normal"/>
    <w:next w:val="Normal"/>
    <w:link w:val="Heading3Char"/>
    <w:uiPriority w:val="9"/>
    <w:unhideWhenUsed/>
    <w:qFormat/>
    <w:rsid w:val="00FC693F"/>
    <w:pPr>
      <w:keepNext/>
      <w:keepLines/>
      <w:spacing w:before="180" w:after="80" w:line="264" w:lineRule="auto"/>
      <w:outlineLvl w:val="2"/>
    </w:pPr>
    <w:rPr>
      <w:rFonts w:ascii="Arial" w:hAnsi="Arial" w:eastAsia="Arial" w:cs="Arial"/>
      <w:b/>
      <w:bCs/>
      <w:i w:val="0"/>
      <w:color w:val="2E75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MAARA Final Research Report</dc:title>
  <dc:subject/>
  <dc:creator>Pratibha Gupta</dc:creator>
  <cp:keywords/>
  <dc:description>generated by python-docx</dc:description>
  <cp:lastModifiedBy/>
  <cp:revision>1</cp:revision>
  <dcterms:created xsi:type="dcterms:W3CDTF">2013-12-23T23:15:00Z</dcterms:created>
  <dcterms:modified xsi:type="dcterms:W3CDTF">2013-12-23T23:15:00Z</dcterms:modified>
  <cp:category/>
</cp:coreProperties>
</file>