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F4E79"/>
          <w:sz w:val="52"/>
          <w:szCs w:val="52"/>
        </w:rPr>
        <w:t xml:space="preserve">Foreclosure Finder</w:t>
      </w:r>
    </w:p>
    <w:p>
      <w:pPr>
        <w:spacing w:after="60" w:before="0"/>
      </w:pPr>
      <w:r>
        <w:rPr>
          <w:rFonts w:ascii="Arial" w:cs="Arial" w:eastAsia="Arial" w:hAnsi="Arial"/>
          <w:color w:val="555555"/>
          <w:sz w:val="30"/>
          <w:szCs w:val="30"/>
        </w:rPr>
        <w:t xml:space="preserve">Pipeline Optimization &amp; Recommended Data Sources</w:t>
      </w:r>
    </w:p>
    <w:p>
      <w:pPr>
        <w:spacing w:after="480" w:before="0"/>
      </w:pPr>
      <w:r>
        <w:rPr>
          <w:rFonts w:ascii="Arial" w:cs="Arial" w:eastAsia="Arial" w:hAnsi="Arial"/>
          <w:i/>
          <w:iCs/>
          <w:color w:val="888888"/>
          <w:sz w:val="19"/>
          <w:szCs w:val="19"/>
        </w:rPr>
        <w:t xml:space="preserve">Fredericksburg, VA Area  •  Updated May 2026</w:t>
      </w: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Purpose</w:t>
      </w:r>
    </w:p>
    <w:p>
      <w:pPr>
        <w:spacing w:after="60" w:before="60"/>
      </w:pPr>
      <w:r>
        <w:rPr>
          <w:rFonts w:ascii="Arial" w:cs="Arial" w:eastAsia="Arial" w:hAnsi="Arial"/>
          <w:sz w:val="20"/>
          <w:szCs w:val="20"/>
        </w:rPr>
        <w:t xml:space="preserve">This document summarizes every data source currently used in the foreclosure scraper and backfill pipeline, explains why each is used, recommends the best sources going forward, and proposes an optimized order of operations to minimize API calls, reduce run time, and maximize data completeness.</w:t>
      </w:r>
    </w:p>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1  Current Data Sources</w:t>
      </w:r>
    </w:p>
    <w:p>
      <w:pPr>
        <w:spacing w:after="60" w:before="60"/>
      </w:pPr>
      <w:r>
        <w:rPr>
          <w:rFonts w:ascii="Arial" w:cs="Arial" w:eastAsia="Arial" w:hAnsi="Arial"/>
          <w:sz w:val="20"/>
          <w:szCs w:val="20"/>
        </w:rPr>
        <w:t xml:space="preserve">The pipeline currently pulls from six primary sources across three categories: foreclosure notices, property details, and owner information.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00"/>
        <w:gridCol w:w="1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Source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URL / Access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It Provides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Pipeline Step(s)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Public Notice Virginia (PNV)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publicnoticevirginia.com</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Foreclosure sale notices (all VA counties), address, sale date/time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Scraper – primary; Backfill P1b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fredericksburg.column.us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fredericksburg.column.us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Fredericksburg legal notices including foreclosures; individual notice URLs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Scraper – Column.us; Backfill P8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Auction.com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auction.com</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Bank-owned &amp; pre-foreclosure listings; sale dates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Scraper – auction.com; Backfill P1b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County ArcGIS / GIS Portals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12 county ArcGIS FeatureServers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Parcel owner name, mailing address, year built, sqft, beds, baths, assessed value, last sale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Backfill P5 (owner), P7 (details)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Redfin (unofficial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redfin.com/stingray/api/gis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Current estimate, beds, baths, sqft, year built — fallback when GIS missing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Backfill P7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USPS / WhitePages / BeenVerified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Various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Owner phone &amp; email estimates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Backfill P4 (planned)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Virginia SCC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scc.virginia.gov/clk</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Corporation / LLC entity owner lookup</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Manual / future P9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RealtyTrac / Foreclosure.com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realtytrac.com / foreclosure.com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Aggregated foreclosure data (paywalled)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 currently used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VGIN Statewide Parcels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gismaps.vdem.virginia.gov/arcgis/rest/ services/VA_Base_Layers/VA_Parcels/ FeatureServer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All 12 counties in ONE REST endpoint — same fields as county GIS portals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Recommended replacement for P5+P7</w:t>
            </w:r>
          </w:p>
        </w:tc>
      </w:tr>
    </w:tbl>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2  Recommended Sources</w:t>
      </w:r>
    </w:p>
    <w:p>
      <w:pPr>
        <w:spacing w:after="60" w:before="60"/>
      </w:pPr>
      <w:r>
        <w:rPr>
          <w:rFonts w:ascii="Arial" w:cs="Arial" w:eastAsia="Arial" w:hAnsi="Arial"/>
          <w:sz w:val="20"/>
          <w:szCs w:val="20"/>
        </w:rPr>
        <w:t xml:space="preserve">Based on coverage, cost, reliability, and API availability, the following sources are recommended as the canonical stack going forward.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Recommended 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Why Recommended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Foreclosure Notices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Public Notice Virginia (PNV)</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Free, statewide, structured data (address + date). Covers all 12 target counties in one source. Updated daily. No login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Supplemental Notices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fredericksburg.column.us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Best source for Fredericksburg City &amp; Spotsylvania. Provides individual notice permalinks which link directly to the legal 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Bank-Owned / Auction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Auction.com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Best coverage of REO and upcoming bank auctions. Provides sale dates not always in PNV.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Property Details + Owner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VGIN Statewide Parcel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Single endpoint replaces 12 separate county calls. Returns owner name, mailing address, year built, sqft, beds, baths, assessed value, last sale — all in one query.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Value Estimate (fallback)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Redfin Unofficial 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Free, no key required. Good Zestimate-equivalent for properties not yet assessed or recently sold. Use only when GIS assessed value is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Owner 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BeenVerified or Spokeo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Paid but accurate. Query by full name + mailing address for phone/email. Consider batch pricing (~$0.05/record).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Entity Owner Lookup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Virginia SCC CLIQUE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Free, official. Reveals LLC/trust behind a mailing name. Essential before skip-tracing.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200"/>
              <w:bottom w:type="dxa" w:w="120"/>
              <w:right w:type="dxa" w:w="200"/>
            </w:tcMar>
          </w:tcPr>
          <w:p>
            <w:pPr>
              <w:spacing w:after="60" w:before="60"/>
            </w:pPr>
            <w:r>
              <w:rPr>
                <w:rFonts w:ascii="Arial" w:cs="Arial" w:eastAsia="Arial" w:hAnsi="Arial"/>
                <w:b/>
                <w:bCs/>
                <w:color w:val="1F4E79"/>
                <w:sz w:val="20"/>
                <w:szCs w:val="20"/>
              </w:rPr>
              <w:t xml:space="preserve">Key recommendation: Replace 12 county GIS calls with VGIN Statewide</w:t>
            </w:r>
          </w:p>
          <w:p>
            <w:pPr>
              <w:spacing w:after="40" w:before="40"/>
            </w:pPr>
            <w:r>
              <w:rPr>
                <w:rFonts w:ascii="Arial" w:cs="Arial" w:eastAsia="Arial" w:hAnsi="Arial"/>
                <w:sz w:val="19"/>
                <w:szCs w:val="19"/>
              </w:rPr>
              <w:t xml:space="preserve">The Virginia Geographic Information Network (VGIN) publishes a statewide parcel layer that consolidates all 12 target counties into a single ArcGIS REST endpoint:</w:t>
            </w:r>
          </w:p>
          <w:p>
            <w:pPr>
              <w:spacing w:after="40" w:before="40"/>
            </w:pPr>
            <w:r>
              <w:rPr>
                <w:rFonts w:ascii="Arial" w:cs="Arial" w:eastAsia="Arial" w:hAnsi="Arial"/>
                <w:sz w:val="19"/>
                <w:szCs w:val="19"/>
              </w:rPr>
              <w:t xml:space="preserve">  https://gismaps.vdem.virginia.gov/arcgis/rest/services/VA_Base_Layers/VA_Parcels/FeatureServer</w:t>
            </w:r>
          </w:p>
          <w:p>
            <w:pPr>
              <w:spacing w:after="40" w:before="40"/>
            </w:pPr>
            <w:r>
              <w:rPr>
                <w:rFonts w:ascii="Arial" w:cs="Arial" w:eastAsia="Arial" w:hAnsi="Arial"/>
                <w:sz w:val="19"/>
                <w:szCs w:val="19"/>
              </w:rPr>
              <w:t xml:space="preserve">One query per property returns owner, assessed value, beds/baths, sqft, year built, and last sale — eliminating the need to route by county and maintain 12 separate URL configs.</w:t>
            </w:r>
          </w:p>
          <w:p>
            <w:pPr>
              <w:spacing w:after="40" w:before="40"/>
            </w:pPr>
            <w:r>
              <w:rPr>
                <w:rFonts w:ascii="Arial" w:cs="Arial" w:eastAsia="Arial" w:hAnsi="Arial"/>
                <w:sz w:val="19"/>
                <w:szCs w:val="19"/>
              </w:rPr>
              <w:t xml:space="preserve">Field names are standardised across the statewide layer, removing the need for the long candidate-list approach currently in backfill.py.</w:t>
            </w:r>
          </w:p>
        </w:tc>
      </w:tr>
    </w:tbl>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3  County-Specific Resources</w:t>
      </w:r>
    </w:p>
    <w:p>
      <w:pPr>
        <w:spacing w:after="60" w:before="60"/>
      </w:pPr>
      <w:r>
        <w:rPr>
          <w:rFonts w:ascii="Arial" w:cs="Arial" w:eastAsia="Arial" w:hAnsi="Arial"/>
          <w:sz w:val="20"/>
          <w:szCs w:val="20"/>
        </w:rPr>
        <w:t xml:space="preserve">Each county maintains its own GIS / assessor portal, used as a fallback if the VGIN statewide layer is missing data. These remain in GIS_REGISTRY for targeted queries.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County / City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GIS / Assessor Portal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Fredericksburg City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fredericksburg.maps.arcgis.com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Also on column.us for notices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Spotsylvania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spotsylvania.maps.arcgis.com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Heavy volume on PNV + column.us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Stafford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staffordcountyva.gov/GIS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Active ArcGIS FeatureServer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Culpeper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culpepercounty.gov/GIS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Orange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orangecounty.net (GIS link)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Madison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madisonva.us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Smaller volume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Rappahannock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rappahannockcountyva.gov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Very low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Fauquier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fauquiercounty.gov/GIS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Active market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King George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kinggeorgecountyva.gov/GIS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Caroline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carolinecountyva.gov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Essex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essexcounty-va.gov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Low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Westmoreland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westmoreland-county.org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Low volume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FFF8E1" w:val="clear"/>
            <w:tcMar>
              <w:top w:type="dxa" w:w="120"/>
              <w:left w:type="dxa" w:w="200"/>
              <w:bottom w:type="dxa" w:w="120"/>
              <w:right w:type="dxa" w:w="200"/>
            </w:tcMar>
          </w:tcPr>
          <w:p>
            <w:pPr>
              <w:spacing w:after="60" w:before="60"/>
            </w:pPr>
            <w:r>
              <w:rPr>
                <w:rFonts w:ascii="Arial" w:cs="Arial" w:eastAsia="Arial" w:hAnsi="Arial"/>
                <w:b/>
                <w:bCs/>
                <w:color w:val="1F4E79"/>
                <w:sz w:val="20"/>
                <w:szCs w:val="20"/>
              </w:rPr>
              <w:t xml:space="preserve">Do counties have their own foreclosure websites?</w:t>
            </w:r>
          </w:p>
          <w:p>
            <w:pPr>
              <w:spacing w:after="40" w:before="40"/>
            </w:pPr>
            <w:r>
              <w:rPr>
                <w:rFonts w:ascii="Arial" w:cs="Arial" w:eastAsia="Arial" w:hAnsi="Arial"/>
                <w:sz w:val="19"/>
                <w:szCs w:val="19"/>
              </w:rPr>
              <w:t xml:space="preserve">No Virginia county in the target area operates a dedicated foreclosure listing website. Under Virginia Code §55.1-321, trustee sale notices must be published in a newspaper of general circulation — not a county website. This is why PNV (which aggregates those newspaper filings) is the authoritative statewide source.</w:t>
            </w:r>
          </w:p>
          <w:p>
            <w:pPr>
              <w:spacing w:after="40" w:before="40"/>
            </w:pPr>
            <w:r>
              <w:rPr>
                <w:rFonts w:ascii="Arial" w:cs="Arial" w:eastAsia="Arial" w:hAnsi="Arial"/>
                <w:sz w:val="19"/>
                <w:szCs w:val="19"/>
              </w:rPr>
              <w:t xml:space="preserve">Some counties (e.g., Fredericksburg City) also publish on column.us, which is worth monitoring as a supplemental source.</w:t>
            </w:r>
          </w:p>
        </w:tc>
      </w:tr>
    </w:tbl>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4  Optimization Opportunities</w:t>
      </w:r>
    </w:p>
    <w:p>
      <w:pPr>
        <w:pStyle w:val="Heading2"/>
        <w:spacing w:after="80" w:before="240"/>
      </w:pPr>
      <w:r>
        <w:rPr>
          <w:rFonts w:ascii="Arial" w:cs="Arial" w:eastAsia="Arial" w:hAnsi="Arial"/>
          <w:b/>
          <w:bCs/>
          <w:color w:val="1F4E79"/>
          <w:sz w:val="26"/>
          <w:szCs w:val="26"/>
        </w:rPr>
        <w:t xml:space="preserve">4.1  Combine GIS Passes 5 + 7 into a Single Call</w:t>
      </w:r>
    </w:p>
    <w:p>
      <w:pPr>
        <w:spacing w:after="60" w:before="60"/>
      </w:pPr>
      <w:r>
        <w:rPr>
          <w:rFonts w:ascii="Arial" w:cs="Arial" w:eastAsia="Arial" w:hAnsi="Arial"/>
          <w:sz w:val="20"/>
          <w:szCs w:val="20"/>
        </w:rPr>
        <w:t xml:space="preserve">Currently the pipeline makes two separate ArcGIS calls per property: Pass 5 fetches owner name and mailing address, and Pass 7 fetches property details (year built, sqft, beds, baths, assessed value, last sale). Both call the same endpoint.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200"/>
              <w:bottom w:type="dxa" w:w="120"/>
              <w:right w:type="dxa" w:w="200"/>
            </w:tcMar>
          </w:tcPr>
          <w:p>
            <w:pPr>
              <w:spacing w:after="60" w:before="60"/>
            </w:pPr>
            <w:r>
              <w:rPr>
                <w:rFonts w:ascii="Arial" w:cs="Arial" w:eastAsia="Arial" w:hAnsi="Arial"/>
                <w:b/>
                <w:bCs/>
                <w:color w:val="1F4E79"/>
                <w:sz w:val="20"/>
                <w:szCs w:val="20"/>
              </w:rPr>
              <w:t xml:space="preserve">Action: Merge into one gis_full_lookup() function</w:t>
            </w:r>
          </w:p>
          <w:p>
            <w:pPr>
              <w:spacing w:after="40" w:before="40"/>
            </w:pPr>
            <w:r>
              <w:rPr>
                <w:rFonts w:ascii="Arial" w:cs="Arial" w:eastAsia="Arial" w:hAnsi="Arial"/>
                <w:sz w:val="19"/>
                <w:szCs w:val="19"/>
              </w:rPr>
              <w:t xml:space="preserve">A single call with outFields='*' returns all parcel attributes at once.</w:t>
            </w:r>
          </w:p>
          <w:p>
            <w:pPr>
              <w:spacing w:after="40" w:before="40"/>
            </w:pPr>
            <w:r>
              <w:rPr>
                <w:rFonts w:ascii="Arial" w:cs="Arial" w:eastAsia="Arial" w:hAnsi="Arial"/>
                <w:sz w:val="19"/>
                <w:szCs w:val="19"/>
              </w:rPr>
              <w:t xml:space="preserve">Parse owner fields AND property detail fields from the same response.</w:t>
            </w:r>
          </w:p>
          <w:p>
            <w:pPr>
              <w:spacing w:after="40" w:before="40"/>
            </w:pPr>
            <w:r>
              <w:rPr>
                <w:rFonts w:ascii="Arial" w:cs="Arial" w:eastAsia="Arial" w:hAnsi="Arial"/>
                <w:sz w:val="19"/>
                <w:szCs w:val="19"/>
              </w:rPr>
              <w:t xml:space="preserve">This halves the number of ArcGIS requests and cuts runtime by ~40% for properties needing both.</w:t>
            </w:r>
          </w:p>
          <w:p>
            <w:pPr>
              <w:spacing w:after="40" w:before="40"/>
            </w:pPr>
            <w:r>
              <w:rPr>
                <w:rFonts w:ascii="Arial" w:cs="Arial" w:eastAsia="Arial" w:hAnsi="Arial"/>
                <w:sz w:val="19"/>
                <w:szCs w:val="19"/>
              </w:rPr>
              <w:t xml:space="preserve">Recommended: implement as gis_full_lookup(address, county_key) replacing both gis_lookup_owner() and gis_property_details().</w:t>
            </w:r>
          </w:p>
        </w:tc>
      </w:tr>
    </w:tbl>
    <w:p>
      <w:pPr>
        <w:spacing w:after="100" w:before="100"/>
      </w:pPr>
    </w:p>
    <w:p>
      <w:pPr>
        <w:pStyle w:val="Heading2"/>
        <w:spacing w:after="80" w:before="240"/>
      </w:pPr>
      <w:r>
        <w:rPr>
          <w:rFonts w:ascii="Arial" w:cs="Arial" w:eastAsia="Arial" w:hAnsi="Arial"/>
          <w:b/>
          <w:bCs/>
          <w:color w:val="1F4E79"/>
          <w:sz w:val="26"/>
          <w:szCs w:val="26"/>
        </w:rPr>
        <w:t xml:space="preserve">4.2  Switch to VGIN Statewide API</w:t>
      </w:r>
    </w:p>
    <w:p>
      <w:pPr>
        <w:spacing w:after="60" w:before="60"/>
      </w:pPr>
      <w:r>
        <w:rPr>
          <w:rFonts w:ascii="Arial" w:cs="Arial" w:eastAsia="Arial" w:hAnsi="Arial"/>
          <w:sz w:val="20"/>
          <w:szCs w:val="20"/>
        </w:rPr>
        <w:t xml:space="preserve">The current code routes each property to one of 12 county-specific ArcGIS base URLs. The VGIN statewide layer eliminates this routing logic and provides a single stable endpoint. If a county GIS portal changes its URL or field names, the statewide layer absorbs the change automatically.</w:t>
      </w:r>
    </w:p>
    <w:p>
      <w:pPr>
        <w:spacing w:after="100" w:before="100"/>
      </w:pPr>
    </w:p>
    <w:p>
      <w:pPr>
        <w:pStyle w:val="Heading2"/>
        <w:spacing w:after="80" w:before="240"/>
      </w:pPr>
      <w:r>
        <w:rPr>
          <w:rFonts w:ascii="Arial" w:cs="Arial" w:eastAsia="Arial" w:hAnsi="Arial"/>
          <w:b/>
          <w:bCs/>
          <w:color w:val="1F4E79"/>
          <w:sz w:val="26"/>
          <w:szCs w:val="26"/>
        </w:rPr>
        <w:t xml:space="preserve">4.3  Run Scraper Before Backfill</w:t>
      </w:r>
    </w:p>
    <w:p>
      <w:pPr>
        <w:spacing w:after="60" w:before="60"/>
      </w:pPr>
      <w:r>
        <w:rPr>
          <w:rFonts w:ascii="Arial" w:cs="Arial" w:eastAsia="Arial" w:hAnsi="Arial"/>
          <w:sz w:val="20"/>
          <w:szCs w:val="20"/>
        </w:rPr>
        <w:t xml:space="preserve">The scraper should always run first to load new listings, then the backfill fills gaps. Currently both are separate manual commands. Wrapping them in update.sh in the correct order (scraper → sheets_sync → backfill → sheets_sync → gh-pages push) ensures data is always fresh before enrichment.</w:t>
      </w:r>
    </w:p>
    <w:p>
      <w:pPr>
        <w:spacing w:after="100" w:before="100"/>
      </w:pPr>
    </w:p>
    <w:p>
      <w:pPr>
        <w:pStyle w:val="Heading2"/>
        <w:spacing w:after="80" w:before="240"/>
      </w:pPr>
      <w:r>
        <w:rPr>
          <w:rFonts w:ascii="Arial" w:cs="Arial" w:eastAsia="Arial" w:hAnsi="Arial"/>
          <w:b/>
          <w:bCs/>
          <w:color w:val="1F4E79"/>
          <w:sz w:val="26"/>
          <w:szCs w:val="26"/>
        </w:rPr>
        <w:t xml:space="preserve">4.4  Rate Limiting &amp; Sleep Strategy</w:t>
      </w:r>
    </w:p>
    <w:p>
      <w:pPr>
        <w:spacing w:after="60" w:before="60"/>
      </w:pPr>
      <w:r>
        <w:rPr>
          <w:rFonts w:ascii="Arial" w:cs="Arial" w:eastAsia="Arial" w:hAnsi="Arial"/>
          <w:sz w:val="20"/>
          <w:szCs w:val="20"/>
        </w:rPr>
        <w:t xml:space="preserve">Current sleep intervals (0.5 s between GIS calls, 1–2 s for Redfin) are conservative. The VGIN statewide endpoint handles higher throughput. Consider lowering GIS sleep to 0.25 s and batching Redfin calls only for properties that genuinely need them (i.e., GIS returned no assessed value), which should be &lt;20% of rows.</w:t>
      </w:r>
    </w:p>
    <w:p>
      <w:pPr>
        <w:spacing w:after="100" w:before="100"/>
      </w:pPr>
    </w:p>
    <w:p>
      <w:pPr>
        <w:pStyle w:val="Heading2"/>
        <w:spacing w:after="80" w:before="240"/>
      </w:pPr>
      <w:r>
        <w:rPr>
          <w:rFonts w:ascii="Arial" w:cs="Arial" w:eastAsia="Arial" w:hAnsi="Arial"/>
          <w:b/>
          <w:bCs/>
          <w:color w:val="1F4E79"/>
          <w:sz w:val="26"/>
          <w:szCs w:val="26"/>
        </w:rPr>
        <w:t xml:space="preserve">4.5  Skip Rows That Are Already Complete</w:t>
      </w:r>
    </w:p>
    <w:p>
      <w:pPr>
        <w:spacing w:after="60" w:before="60"/>
      </w:pPr>
      <w:r>
        <w:rPr>
          <w:rFonts w:ascii="Arial" w:cs="Arial" w:eastAsia="Arial" w:hAnsi="Arial"/>
          <w:sz w:val="20"/>
          <w:szCs w:val="20"/>
        </w:rPr>
        <w:t xml:space="preserve">Pass 7 currently re-queues any row missing any one of the nine property fields. A smarter check would mark a row as property-complete once GIS has returned data, even if Redfin did not. This avoids repeated Redfin lookups for properties that will never have Redfin data (rural parcels, vacant lots, etc.).</w:t>
      </w:r>
    </w:p>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5  Recommended Order of Operations</w:t>
      </w:r>
    </w:p>
    <w:p>
      <w:pPr>
        <w:spacing w:after="60" w:before="60"/>
      </w:pPr>
      <w:r>
        <w:rPr>
          <w:rFonts w:ascii="Arial" w:cs="Arial" w:eastAsia="Arial" w:hAnsi="Arial"/>
          <w:sz w:val="20"/>
          <w:szCs w:val="20"/>
        </w:rPr>
        <w:t xml:space="preserve">The following sequence minimises redundant API calls, ensures each stage has the data it needs from the prior stage, and produces a fully enriched row in the fewest passes possible.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7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Pass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Source(s)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Fields Written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Scrape all foreclosure notices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PNV, Column.us, Auction.com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Address, County, F_Sale_Date, F_Sale_Time, Listing_URL,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Normalise &amp; deduplicate listings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 (sheets_sync.py)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Canonical address, unique row per property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GIS lookup — property details + owner in ONE call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VGIN Statewide Parcel API (recommended) or county ArcGIS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Owner_Name, Owner_Mailing_Address, Year_Built, Sqft, Beds, Baths, Lot_Size, Assessed_Value, Last_Sold_Date, Last_Sold_Price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Fill missing estimate with Redfin (fallback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Redfin unofficial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Current_Est_Value (if GIS assessed absent)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Calculate derived fields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 computation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Rough_Equity_Est, Est_Profit_Potential (70% rule), Years_Since_Last_Sale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Fill missing sale dates (secondary 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Auction.com detail page, PNV search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F_Sale_Date, F_Sale_Time (rows still blank)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Owner entity lookup (LLC/trust)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Virginia SCC CLIQUE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Notes (entity type, principals)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Owner contact enrichment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BeenVerified / Spokeo API (paid)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Estimated_Phone, Estimated_Email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Sync to Google Sheets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sheets_sync.py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All columns synced, summary tab updated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Push static site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GitHub Pages (gh-pages branch)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Public foreclosure site updated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200"/>
              <w:bottom w:type="dxa" w:w="120"/>
              <w:right w:type="dxa" w:w="200"/>
            </w:tcMar>
          </w:tcPr>
          <w:p>
            <w:pPr>
              <w:spacing w:after="60" w:before="60"/>
            </w:pPr>
            <w:r>
              <w:rPr>
                <w:rFonts w:ascii="Arial" w:cs="Arial" w:eastAsia="Arial" w:hAnsi="Arial"/>
                <w:b/>
                <w:bCs/>
                <w:color w:val="1F4E79"/>
                <w:sz w:val="20"/>
                <w:szCs w:val="20"/>
              </w:rPr>
              <w:t xml:space="preserve">Why property details before owner contact enrichment?</w:t>
            </w:r>
          </w:p>
          <w:p>
            <w:pPr>
              <w:spacing w:after="40" w:before="40"/>
            </w:pPr>
            <w:r>
              <w:rPr>
                <w:rFonts w:ascii="Arial" w:cs="Arial" w:eastAsia="Arial" w:hAnsi="Arial"/>
                <w:sz w:val="19"/>
                <w:szCs w:val="19"/>
              </w:rPr>
              <w:t xml:space="preserve">Knowing the assessed value and equity position lets you rank Investment_Priority before spending money on paid contact lookups. Only query BeenVerified/Spokeo for properties that score above your investment threshold — this keeps per-run costs low.</w:t>
            </w:r>
          </w:p>
        </w:tc>
      </w:tr>
    </w:tbl>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6  Sites Evaluated but Not Recommended</w:t>
      </w:r>
    </w:p>
    <w:p>
      <w:pPr>
        <w:spacing w:after="60" w:before="200"/>
      </w:pPr>
      <w:r>
        <w:rPr>
          <w:rFonts w:ascii="Arial" w:cs="Arial" w:eastAsia="Arial" w:hAnsi="Arial"/>
          <w:b/>
          <w:bCs/>
          <w:color w:val="2E4057"/>
          <w:sz w:val="22"/>
          <w:szCs w:val="22"/>
        </w:rPr>
        <w:t xml:space="preserve">RealtyTrac / Foreclosure.com</w:t>
      </w:r>
    </w:p>
    <w:p>
      <w:pPr>
        <w:spacing w:after="60" w:before="60"/>
      </w:pPr>
      <w:r>
        <w:rPr>
          <w:rFonts w:ascii="Arial" w:cs="Arial" w:eastAsia="Arial" w:hAnsi="Arial"/>
          <w:sz w:val="20"/>
          <w:szCs w:val="20"/>
        </w:rPr>
        <w:t xml:space="preserve">Both aggregate foreclosure data nationally but charge subscription fees ($50–$200/month). PNV provides the same Virginia notice data for free directly from the courthouse filings. These services add no data not already available from free sources for the Fredericksburg area.</w:t>
      </w:r>
    </w:p>
    <w:p>
      <w:pPr>
        <w:spacing w:after="100" w:before="100"/>
      </w:pPr>
    </w:p>
    <w:p>
      <w:pPr>
        <w:spacing w:after="60" w:before="200"/>
      </w:pPr>
      <w:r>
        <w:rPr>
          <w:rFonts w:ascii="Arial" w:cs="Arial" w:eastAsia="Arial" w:hAnsi="Arial"/>
          <w:b/>
          <w:bCs/>
          <w:color w:val="2E4057"/>
          <w:sz w:val="22"/>
          <w:szCs w:val="22"/>
        </w:rPr>
        <w:t xml:space="preserve">Zillow Zestimate API</w:t>
      </w:r>
    </w:p>
    <w:p>
      <w:pPr>
        <w:spacing w:after="60" w:before="60"/>
      </w:pPr>
      <w:r>
        <w:rPr>
          <w:rFonts w:ascii="Arial" w:cs="Arial" w:eastAsia="Arial" w:hAnsi="Arial"/>
          <w:sz w:val="20"/>
          <w:szCs w:val="20"/>
        </w:rPr>
        <w:t xml:space="preserve">Zillow's official API is restricted to partners. The unofficial scraping approach is fragile and violates ToS. Redfin\'s unofficial API provides equivalent estimates with better stability.</w:t>
      </w:r>
    </w:p>
    <w:p>
      <w:pPr>
        <w:spacing w:after="100" w:before="100"/>
      </w:pPr>
    </w:p>
    <w:p>
      <w:pPr>
        <w:spacing w:after="60" w:before="200"/>
      </w:pPr>
      <w:r>
        <w:rPr>
          <w:rFonts w:ascii="Arial" w:cs="Arial" w:eastAsia="Arial" w:hAnsi="Arial"/>
          <w:b/>
          <w:bCs/>
          <w:color w:val="2E4057"/>
          <w:sz w:val="22"/>
          <w:szCs w:val="22"/>
        </w:rPr>
        <w:t xml:space="preserve">PropStream / BatchLeads</w:t>
      </w:r>
    </w:p>
    <w:p>
      <w:pPr>
        <w:spacing w:after="60" w:before="60"/>
      </w:pPr>
      <w:r>
        <w:rPr>
          <w:rFonts w:ascii="Arial" w:cs="Arial" w:eastAsia="Arial" w:hAnsi="Arial"/>
          <w:sz w:val="20"/>
          <w:szCs w:val="20"/>
        </w:rPr>
        <w:t xml:space="preserve">PropStream and BatchLeads are solid all-in-one platforms for house flippers (foreclosures + skip tracing + owner data). At ~$100/month they are worth evaluating if you want to replace the entire scraper stack with a managed service. However, they do not expose a public API, so automation would require computer-use scraping of their UI — not recommended as a primary data source while this custom pipeline is active.</w:t>
      </w:r>
    </w:p>
    <w:p>
      <w:pPr>
        <w:spacing w:after="100" w:before="100"/>
      </w:pPr>
    </w:p>
    <w:p>
      <w:pPr>
        <w:pBdr>
          <w:bottom w:val="single" w:color="BDD7EE" w:sz="4"/>
        </w:pBdr>
        <w:spacing w:after="120" w:before="120"/>
      </w:pPr>
    </w:p>
    <w:p>
      <w:pPr>
        <w:pStyle w:val="Heading1"/>
        <w:spacing w:after="120" w:before="360"/>
      </w:pPr>
      <w:r>
        <w:rPr>
          <w:rFonts w:ascii="Arial" w:cs="Arial" w:eastAsia="Arial" w:hAnsi="Arial"/>
          <w:b/>
          <w:bCs/>
          <w:color w:val="1F4E79"/>
          <w:sz w:val="32"/>
          <w:szCs w:val="32"/>
        </w:rPr>
        <w:t xml:space="preserve">Summary</w:t>
      </w:r>
    </w:p>
    <w:p>
      <w:pPr>
        <w:spacing w:after="60" w:before="60"/>
      </w:pPr>
      <w:r>
        <w:rPr>
          <w:rFonts w:ascii="Arial" w:cs="Arial" w:eastAsia="Arial" w:hAnsi="Arial"/>
          <w:b/>
          <w:bCs/>
          <w:sz w:val="20"/>
          <w:szCs w:val="20"/>
        </w:rPr>
        <w:t xml:space="preserve">Primary foreclosure source:</w:t>
      </w:r>
    </w:p>
    <w:p>
      <w:pPr>
        <w:pStyle w:val="ListParagraph"/>
        <w:numPr>
          <w:ilvl w:val="0"/>
          <w:numId w:val="2"/>
        </w:numPr>
        <w:spacing w:after="40" w:before="40"/>
      </w:pPr>
      <w:r>
        <w:rPr>
          <w:rFonts w:ascii="Arial" w:cs="Arial" w:eastAsia="Arial" w:hAnsi="Arial"/>
          <w:sz w:val="20"/>
          <w:szCs w:val="20"/>
        </w:rPr>
        <w:t xml:space="preserve">Public Notice Virginia (PNV) — free, statewide, structured</w:t>
      </w:r>
    </w:p>
    <w:p>
      <w:pPr>
        <w:pStyle w:val="ListParagraph"/>
        <w:numPr>
          <w:ilvl w:val="0"/>
          <w:numId w:val="2"/>
        </w:numPr>
        <w:spacing w:after="40" w:before="40"/>
      </w:pPr>
      <w:r>
        <w:rPr>
          <w:rFonts w:ascii="Arial" w:cs="Arial" w:eastAsia="Arial" w:hAnsi="Arial"/>
          <w:sz w:val="20"/>
          <w:szCs w:val="20"/>
        </w:rPr>
        <w:t xml:space="preserve">Column.us (Fredericksburg) — supplement for city + Spotsylvania notices</w:t>
      </w:r>
    </w:p>
    <w:p>
      <w:pPr>
        <w:spacing w:after="60" w:before="60"/>
      </w:pPr>
      <w:r>
        <w:rPr>
          <w:rFonts w:ascii="Arial" w:cs="Arial" w:eastAsia="Arial" w:hAnsi="Arial"/>
          <w:b/>
          <w:bCs/>
          <w:sz w:val="20"/>
          <w:szCs w:val="20"/>
        </w:rPr>
        <w:t xml:space="preserve">Primary property + owner data source:</w:t>
      </w:r>
    </w:p>
    <w:p>
      <w:pPr>
        <w:pStyle w:val="ListParagraph"/>
        <w:numPr>
          <w:ilvl w:val="0"/>
          <w:numId w:val="2"/>
        </w:numPr>
        <w:spacing w:after="40" w:before="40"/>
      </w:pPr>
      <w:r>
        <w:rPr>
          <w:rFonts w:ascii="Arial" w:cs="Arial" w:eastAsia="Arial" w:hAnsi="Arial"/>
          <w:sz w:val="20"/>
          <w:szCs w:val="20"/>
        </w:rPr>
        <w:t xml:space="preserve">VGIN Statewide Parcel API — replaces 12 separate county endpoints in one call</w:t>
      </w:r>
    </w:p>
    <w:p>
      <w:pPr>
        <w:spacing w:after="60" w:before="60"/>
      </w:pPr>
      <w:r>
        <w:rPr>
          <w:rFonts w:ascii="Arial" w:cs="Arial" w:eastAsia="Arial" w:hAnsi="Arial"/>
          <w:b/>
          <w:bCs/>
          <w:sz w:val="20"/>
          <w:szCs w:val="20"/>
        </w:rPr>
        <w:t xml:space="preserve">Fallback:</w:t>
      </w:r>
    </w:p>
    <w:p>
      <w:pPr>
        <w:pStyle w:val="ListParagraph"/>
        <w:numPr>
          <w:ilvl w:val="0"/>
          <w:numId w:val="2"/>
        </w:numPr>
        <w:spacing w:after="40" w:before="40"/>
      </w:pPr>
      <w:r>
        <w:rPr>
          <w:rFonts w:ascii="Arial" w:cs="Arial" w:eastAsia="Arial" w:hAnsi="Arial"/>
          <w:sz w:val="20"/>
          <w:szCs w:val="20"/>
        </w:rPr>
        <w:t xml:space="preserve">Redfin unofficial API — only for properties with no GIS assessed value</w:t>
      </w:r>
    </w:p>
    <w:p>
      <w:pPr>
        <w:spacing w:after="60" w:before="60"/>
      </w:pPr>
      <w:r>
        <w:rPr>
          <w:rFonts w:ascii="Arial" w:cs="Arial" w:eastAsia="Arial" w:hAnsi="Arial"/>
          <w:b/>
          <w:bCs/>
          <w:sz w:val="20"/>
          <w:szCs w:val="20"/>
        </w:rPr>
        <w:t xml:space="preserve">Future owner contact (optional):</w:t>
      </w:r>
    </w:p>
    <w:p>
      <w:pPr>
        <w:pStyle w:val="ListParagraph"/>
        <w:numPr>
          <w:ilvl w:val="0"/>
          <w:numId w:val="2"/>
        </w:numPr>
        <w:spacing w:after="40" w:before="40"/>
      </w:pPr>
      <w:r>
        <w:rPr>
          <w:rFonts w:ascii="Arial" w:cs="Arial" w:eastAsia="Arial" w:hAnsi="Arial"/>
          <w:sz w:val="20"/>
          <w:szCs w:val="20"/>
        </w:rPr>
        <w:t xml:space="preserve">BeenVerified or Spokeo — paid, ~$0.05/record, query after equity screening</w:t>
      </w:r>
    </w:p>
    <w:p>
      <w:pPr>
        <w:spacing w:after="100" w:before="100"/>
      </w:pPr>
    </w:p>
    <w:p>
      <w:pPr>
        <w:spacing w:after="60" w:before="60"/>
      </w:pPr>
      <w:r>
        <w:rPr>
          <w:rFonts w:ascii="Arial" w:cs="Arial" w:eastAsia="Arial" w:hAnsi="Arial"/>
          <w:i/>
          <w:iCs/>
          <w:sz w:val="20"/>
          <w:szCs w:val="20"/>
        </w:rPr>
        <w:t xml:space="preserve">Implementing the combined GIS pass (4.1) and switching to VGIN (4.2) are the highest-ROI changes — together they cut API call volume roughly in half and simplify the county-routing logic significantly.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jc w:val="right"/>
    </w:pPr>
    <w:r>
      <w:rPr>
        <w:rFonts w:ascii="Arial" w:cs="Arial" w:eastAsia="Arial" w:hAnsi="Arial"/>
        <w:i/>
        <w:iCs/>
        <w:color w:val="888888"/>
        <w:sz w:val="17"/>
        <w:szCs w:val="17"/>
      </w:rPr>
      <w:t xml:space="preserve">Foreclosure Pipeline — Data Sources &amp; Optimization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2026-05-03T23:06:14.530Z</dcterms:created>
  <dcterms:modified xsi:type="dcterms:W3CDTF">2026-05-03T23:06:14.531Z</dcterms:modified>
</cp:coreProperties>
</file>

<file path=docProps/custom.xml><?xml version="1.0" encoding="utf-8"?>
<Properties xmlns="http://schemas.openxmlformats.org/officeDocument/2006/custom-properties" xmlns:vt="http://schemas.openxmlformats.org/officeDocument/2006/docPropsVTypes"/>
</file>