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44"/>
          <w:szCs w:val="44"/>
        </w:rPr>
        <w:t xml:space="preserve">WholesaleFlow ERP</w:t>
      </w:r>
    </w:p>
    <w:p>
      <w:pPr>
        <w:spacing w:after="60"/>
      </w:pPr>
      <w:r>
        <w:rPr>
          <w:b/>
          <w:bCs/>
          <w:sz w:val="32"/>
          <w:szCs w:val="32"/>
        </w:rPr>
        <w:t xml:space="preserve">Phases 1–3 Sign-Off Document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Business Requirements · MVP Specification · System Architecture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Companion sign-off to the Master Project Documentation — Development Roadmap, Section 21</w:t>
      </w:r>
    </w:p>
    <w:p>
      <w:pPr>
        <w:spacing w:after="120"/>
      </w:pPr>
      <w:r>
        <w:t xml:space="preserve">This document formally closes out Phases 1 through 3 of the WholesaleFlow ERP Development Roadmap (Master Project Documentation, Section 21). It confirms the business requirements, defines the MVP boundary as a standalone checklist, and locks the system architecture — clearing every prerequisite for Phase 4 (Database Architecture), which is the first phase involving actual schema/migration work.</w:t>
      </w:r>
    </w:p>
    <w:p>
      <w:pPr>
        <w:pStyle w:val="Heading1"/>
        <w:spacing w:after="150" w:before="300"/>
      </w:pPr>
      <w:r>
        <w:t xml:space="preserve">Phase 1 — Business Requirements (Confirmed)</w:t>
      </w:r>
    </w:p>
    <w:p>
      <w:pPr>
        <w:spacing w:after="120"/>
      </w:pPr>
      <w:r>
        <w:t xml:space="preserve">Objective: turn the product definition (Phase 0) into concrete business requirements — modules, workflows, and roles. Source: Master Project Documentation, Sections 5, 7, 8.</w:t>
      </w:r>
    </w:p>
    <w:p>
      <w:pPr>
        <w:pStyle w:val="Heading2"/>
        <w:spacing w:after="120" w:before="250"/>
      </w:pPr>
      <w:r>
        <w:t xml:space="preserve">1.1 Target Roles — Confirmed</w:t>
      </w:r>
    </w:p>
    <w:p>
      <w:pPr>
        <w:spacing w:after="120"/>
      </w:pPr>
      <w:r>
        <w:t xml:space="preserve">The following roles are confirmed as the default role configuration. Per Section 15 (Security), the underlying RBAC system remains data-driven, so companies may add or modify roles without a code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Administrator — installation-level provisioning and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Administrator — users, roles, company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— cross-functional visibility; approves POs/SOs where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Purchasing Employee — purchase orders and supplier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Employee — customer records and sales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Manager — receiving, put-away, picking, packing, shipping, inventory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Employee — executes receiving and picking/packing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Clerk — cycle counts and inventory adjustments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Shipping Employee — shipping and tracking updates</w:t>
      </w:r>
    </w:p>
    <w:p>
      <w:pPr>
        <w:pStyle w:val="Heading2"/>
        <w:spacing w:after="120" w:before="250"/>
      </w:pPr>
      <w:r>
        <w:t xml:space="preserve">1.2 Module List — Confirmed</w:t>
      </w:r>
    </w:p>
    <w:p>
      <w:pPr>
        <w:spacing w:after="120"/>
      </w:pPr>
      <w:r>
        <w:t xml:space="preserve">All 13 MVP-tier modules from Section 7 are confirmed for build: Administration, Company Management, Users, Roles, Permissions, Products, Product Categories, Units of Measure, Customers, Suppliers, Warehouses, Warehouse Locations (warehouse-level only), and Inventory (ledger + balances). Purchasing, Sales &amp; Fulfillment, and Documents/Reporting modules (Sections 7.4–7.6, referenced in Section 6) are confirmed in the same pass — see the MVP checklist in Phase 2 for the authoritative feature-level list.</w:t>
      </w:r>
    </w:p>
    <w:p>
      <w:pPr>
        <w:pStyle w:val="Heading2"/>
        <w:spacing w:after="120" w:before="250"/>
      </w:pPr>
      <w:r>
        <w:t xml:space="preserve">1.3 Core Workflows — Confirmed</w:t>
      </w:r>
    </w:p>
    <w:p>
      <w:pPr>
        <w:spacing w:after="120"/>
      </w:pPr>
      <w:r>
        <w:t xml:space="preserve">All 18 workflows documented in Section 8 are confirmed with clear trigger, actor, and outcome, satisfying the Phase 1 completion criterion. Summary by group: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0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Workflows</w:t>
            </w:r>
          </w:p>
        </w:tc>
        <w:tc>
          <w:tcPr>
            <w:tcW w:type="dxa" w:w="1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Data (8.1)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Creation, Supplier Creation, Customer Creation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Purchasing (8.2)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 Creation, Receiving, Inventory Increase, Warehouse Put-away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&amp; Fulfillment (8.3)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 Creation, Allocation, Picking, Packing, Shipping, Shipment Tracking, Proof of Delivery, Order Completion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Integrity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Decrease (shipping), Adjustment/Cycle Count trigger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>☑  Phase 1 Completion Criterion met: every MVP workflow has a documented trigger, actor, and outcome (Section 8).</w:t>
      </w:r>
    </w:p>
    <w:p>
      <w:pPr>
        <w:pStyle w:val="Heading1"/>
        <w:spacing w:after="150" w:before="300"/>
      </w:pPr>
      <w:r>
        <w:t xml:space="preserve">Phase 2 — MVP Specification (Checklist)</w:t>
      </w:r>
    </w:p>
    <w:p>
      <w:pPr>
        <w:spacing w:after="120"/>
      </w:pPr>
      <w:r>
        <w:t xml:space="preserve">Objective: extract the MVP-tagged modules/workflows from Sections 6–7 into a standalone checklist and confirm what is explicitly out of scope. This checklist is the definition-of-done for the pilot-ready release.</w:t>
      </w:r>
    </w:p>
    <w:p>
      <w:pPr>
        <w:pStyle w:val="Heading2"/>
        <w:spacing w:after="120" w:before="250"/>
      </w:pPr>
      <w:r>
        <w:t xml:space="preserve">2.1 MVP Feature Checklist</w:t>
      </w:r>
    </w:p>
    <w:p>
      <w:pPr>
        <w:spacing w:after="60"/>
      </w:pPr>
      <w:r>
        <w:t xml:space="preserve">☑  Single company, users, and basic (seeded) roles</w:t>
      </w:r>
    </w:p>
    <w:p>
      <w:pPr>
        <w:spacing w:after="60"/>
      </w:pPr>
      <w:r>
        <w:t xml:space="preserve">☑  Products, product categories, units of measure</w:t>
      </w:r>
    </w:p>
    <w:p>
      <w:pPr>
        <w:spacing w:after="60"/>
      </w:pPr>
      <w:r>
        <w:t xml:space="preserve">☑  Customers and suppliers with soft-deactivation</w:t>
      </w:r>
    </w:p>
    <w:p>
      <w:pPr>
        <w:spacing w:after="60"/>
      </w:pPr>
      <w:r>
        <w:t xml:space="preserve">☑  Purchase orders with full and partial receiving</w:t>
      </w:r>
    </w:p>
    <w:p>
      <w:pPr>
        <w:spacing w:after="60"/>
      </w:pPr>
      <w:r>
        <w:t xml:space="preserve">☑  Warehouse(s), warehouse-level inventory (no bin/location tracking yet)</w:t>
      </w:r>
    </w:p>
    <w:p>
      <w:pPr>
        <w:spacing w:after="60"/>
      </w:pPr>
      <w:r>
        <w:t xml:space="preserve">☑  Inventory on-hand tracking via an append-only transaction ledger</w:t>
      </w:r>
    </w:p>
    <w:p>
      <w:pPr>
        <w:spacing w:after="60"/>
      </w:pPr>
      <w:r>
        <w:t xml:space="preserve">☑  Sales orders with allocation, picking, packing, and shipping</w:t>
      </w:r>
    </w:p>
    <w:p>
      <w:pPr>
        <w:spacing w:after="60"/>
      </w:pPr>
      <w:r>
        <w:t xml:space="preserve">☑  Manual shipment tracking (carrier/tracking number entered by hand)</w:t>
      </w:r>
    </w:p>
    <w:p>
      <w:pPr>
        <w:spacing w:after="60"/>
      </w:pPr>
      <w:r>
        <w:t xml:space="preserve">☑  Basic on-screen reports (no PDF generation yet)</w:t>
      </w:r>
    </w:p>
    <w:p>
      <w:pPr>
        <w:spacing w:after="60"/>
      </w:pPr>
      <w:r>
        <w:t xml:space="preserve">☑  Role-based access control enforced server-side on every endpoint</w:t>
      </w:r>
    </w:p>
    <w:p>
      <w:pPr>
        <w:pStyle w:val="Heading2"/>
        <w:spacing w:after="120" w:before="250"/>
      </w:pPr>
      <w:r>
        <w:t xml:space="preserve">2.2 Explicitly Out of MVP Scope</w:t>
      </w:r>
    </w:p>
    <w:p>
      <w:pPr>
        <w:spacing w:after="120"/>
      </w:pPr>
      <w:r>
        <w:t xml:space="preserve">The following are confirmed V2 or Future per Section 2 and Section 6, and must not be pulled forward into MVP build phases (7–13):</w:t>
      </w:r>
    </w:p>
    <w:p>
      <w:pPr>
        <w:pStyle w:val="Heading3"/>
        <w:spacing w:after="100" w:before="200"/>
      </w:pPr>
      <w:r>
        <w:t xml:space="preserve">Deferred to Version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Multi-warehouse transfers and cycle counting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Backorder handling and partial-fulfillment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roles/permissions beyond the seeded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generation — PDF POs, packing slips,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Company-level settings and numbering schemes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Carrier/tracking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Bin/location-level (zone/aisle/shelf) inventory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approval workflows and over/under-receiving rules</w:t>
      </w:r>
    </w:p>
    <w:p>
      <w:pPr>
        <w:pStyle w:val="Heading3"/>
        <w:spacing w:after="100" w:before="200"/>
      </w:pPr>
      <w:r>
        <w:t xml:space="preserve">Deferred to Future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Accounting, CRM, and manufacturing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Fleet management and advanced logistics / TMS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E-commerce integrations and EDI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features and advanced analytics / BI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SaaS infrastructure and self-service company signup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Lot/expiry tracking, serialized inventory, supplier scorecards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>☑  Phase 2 Completion Criterion met: checklist above is the agreed MVP definition-of-done.</w:t>
      </w:r>
    </w:p>
    <w:p>
      <w:pPr>
        <w:pStyle w:val="Heading1"/>
        <w:spacing w:after="150" w:before="300"/>
      </w:pPr>
      <w:r>
        <w:t xml:space="preserve">Phase 3 — System Architecture (Confirmed)</w:t>
      </w:r>
    </w:p>
    <w:p>
      <w:pPr>
        <w:spacing w:after="120"/>
      </w:pPr>
      <w:r>
        <w:t xml:space="preserve">Objective: finalize the overall architecture — modular monolith, layered backend, client-server desktop model — per Section 9.</w:t>
      </w:r>
    </w:p>
    <w:p>
      <w:pPr>
        <w:pStyle w:val="Heading2"/>
        <w:spacing w:after="120" w:before="250"/>
      </w:pPr>
      <w:r>
        <w:t xml:space="preserve">3.1 Stack — Confirmed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Tauri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packaging (Mac/Windows)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client only — never touches PostgreSQL directly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over HTTPS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Sole contract between client and backend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 monolith; Spring Security for auth/authorization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Accessed only by the backend; Flyway-managed migrations</w:t>
            </w:r>
          </w:p>
        </w:tc>
      </w:tr>
    </w:tbl>
    <w:p>
      <w:pPr>
        <w:spacing w:after="120"/>
      </w:pPr>
      <w:r>
        <w:t xml:space="preserve">Rationale (Section 9.1): a direct desktop→database connection is rejected on security, business-logic-integrity, schema-evolution, concurrency, and auditability grounds. The three-tier separation is the correct default even for a single-developer, single-pilot-customer build, since retrofitting it after customers have direct-DB desktop clients in the field would be far more disruptive.</w:t>
      </w:r>
    </w:p>
    <w:p>
      <w:pPr>
        <w:pStyle w:val="Heading2"/>
        <w:spacing w:after="120" w:before="250"/>
      </w:pPr>
      <w:r>
        <w:t xml:space="preserve">3.2 Modular Monolith Boundaries — Confirmed</w:t>
      </w:r>
    </w:p>
    <w:p>
      <w:pPr>
        <w:spacing w:after="120"/>
      </w:pPr>
      <w:r>
        <w:t xml:space="preserve">Backend organized as one deployable Spring Boot application with the following top-level packages, each owning its own entities/repositories/services and communicating only through service interfaces (Section 9.2–9.3):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(roles/permissions/auth)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(products, categories, UOM)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(customers, suppliers)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(warehouses, locations)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(balances, transactions, transfers, adjustments, cycle counts)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purchasing (purchase orders, receiving)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(sales orders, allocation, picking, packing, shipping)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(PDF generation — 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(shared DTOs/utilities)</w:t>
      </w:r>
    </w:p>
    <w:p>
      <w:pPr>
        <w:spacing w:after="120"/>
      </w:pPr>
      <w:r>
        <w:t xml:space="preserve">Microservices are explicitly rejected for this stage (Section 9.2, 25): with one developer and on-premise per-company deployments, microservices add deployment/network/monitoring overhead with no corresponding benefit. The modular monolith preserves a path to extraction later if a specific module genuinely needs to scale independently.</w:t>
      </w:r>
    </w:p>
    <w:p>
      <w:pPr>
        <w:pStyle w:val="Heading2"/>
        <w:spacing w:after="120" w:before="250"/>
      </w:pPr>
      <w:r>
        <w:t xml:space="preserve">3.3 Deployment &amp; Multi-Company Model — Confirmed</w:t>
      </w:r>
    </w:p>
    <w:p>
      <w:pPr>
        <w:spacing w:after="120"/>
      </w:pPr>
      <w:r>
        <w:t xml:space="preserve">Recommendation adopted from Section 9.6: build the data model multi-company-ready now (every company-scoped table carries a companyId, every query is scoped by it) but deploy as single-company installations for MVP and the pilot. A second customer becomes a second isolated installation without a schema redesign; a future hosted offering can migrate multiple companies onto shared infrastructure later without breaking this model.</w:t>
      </w:r>
    </w:p>
    <w:p>
      <w:pPr>
        <w:spacing w:after="120"/>
      </w:pPr>
      <w:r>
        <w:t xml:space="preserve">MVP deployment target: one PostgreSQL database, one Spring Boot backend instance, desktop clients on user workstations reaching the backend over local network or VPN (Section 9.5).</w:t>
      </w:r>
    </w:p>
    <w:p>
      <w:pPr>
        <w:pStyle w:val="Heading2"/>
        <w:spacing w:after="120" w:before="250"/>
      </w:pPr>
      <w:r>
        <w:t xml:space="preserve">3.4 Core Domain Rule — Confirmed</w:t>
      </w:r>
    </w:p>
    <w:p>
      <w:pPr>
        <w:spacing w:after="120"/>
      </w:pPr>
      <w:r>
        <w:t xml:space="preserve">Inventory is never a directly editable number. On-hand, reserved, available, incoming, and allocated quantities are always derived from an append-only Inventory Transaction ledger (Section 9.7). This is treated as the single most important data-integrity rule in the system and governs the Phase 4 schema design and Phase 9 service-layer implementation.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>☑  Phase 3 Completion Criterion met: architecture agreed and documented; no open architectural questions remain for MVP scope.</w:t>
      </w:r>
    </w:p>
    <w:p>
      <w:pPr>
        <w:pStyle w:val="Heading1"/>
        <w:spacing w:after="150" w:before="300"/>
      </w:pPr>
      <w:r>
        <w:t xml:space="preserve">Sign-Off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4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 — Product Definition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Project Documentation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Business Requirements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(this document, Section 1)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roles, module list, workflows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MVP Specification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(this document, Section 2)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checklist + out-of-scope list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System Architecture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(this document, Section 3)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Stack, module boundaries, deployment model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 — Database Architecture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to start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list, Flyway migrations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What Comes Next: Phase 4 — Database Architecture</w:t>
      </w:r>
    </w:p>
    <w:p>
      <w:pPr>
        <w:spacing w:after="120"/>
      </w:pPr>
      <w:r>
        <w:t xml:space="preserve">With Phases 1–3 signed off, Phase 4 can begin immediately (Section 21 prerequisites are satisfied). Phase 4 turns the conceptual schema (Section 11) into an actual entity/table design and the first Flyway migrations covering company/security/master-data/inventory/purchasing/sales tables. Completion criterion: a fresh clone of the repo plus `flyway migrate` reproduces the full MVP schema.</w:t>
      </w:r>
    </w:p>
    <w:p>
      <w:pPr>
        <w:spacing w:after="120"/>
      </w:pPr>
      <w:r>
        <w:t xml:space="preserve">Phase 5 (UI/UX wireframing) can run in parallel with Phase 4, since it only depends on Phase 2 being complete.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2026-08-18T18:29:13.412Z</dcterms:created>
  <dcterms:modified xsi:type="dcterms:W3CDTF">2026-08-18T18:29:13.412Z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