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0"/>
          <w:szCs w:val="40"/>
        </w:rPr>
        <w:t xml:space="preserve">AI/ML System for Tropical Cyclone Identification, Classification &amp; Prediction</w:t>
      </w:r>
    </w:p>
    <w:p>
      <w:pPr>
        <w:spacing w:after="300"/>
      </w:pPr>
      <w:r>
        <w:rPr>
          <w:i/>
          <w:iCs/>
          <w:color w:val="555555"/>
          <w:sz w:val="24"/>
          <w:szCs w:val="24"/>
        </w:rPr>
        <w:t xml:space="preserve">Solution Overview — SIH26070 Team Reference</w:t>
      </w:r>
    </w:p>
    <w:p>
      <w:pPr>
        <w:pStyle w:val="Heading1"/>
        <w:spacing w:after="160" w:before="320"/>
      </w:pPr>
      <w:r>
        <w:t xml:space="preserve">1. The Problem Statement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4E78" w:val="clear"/>
            <w:tcMar>
              <w:top w:type="dxa" w:w="80"/>
              <w:left w:type="dxa" w:w="120"/>
              <w:bottom w:type="dxa" w:w="80"/>
              <w:right w:type="dxa" w:w="120"/>
            </w:tcMar>
          </w:tcPr>
          <w:p>
            <w:r>
              <w:rPr>
                <w:b/>
                <w:bCs/>
                <w:color w:val="FFFFFF"/>
                <w:sz w:val="20"/>
                <w:szCs w:val="20"/>
              </w:rPr>
              <w:t xml:space="preserve">Problem Statement ID</w:t>
            </w:r>
          </w:p>
        </w:tc>
        <w:tc>
          <w:tcPr>
            <w:tcW w:type="dxa" w:w="6950"/>
            <w:tcMar>
              <w:top w:type="dxa" w:w="80"/>
              <w:left w:type="dxa" w:w="120"/>
              <w:bottom w:type="dxa" w:w="80"/>
              <w:right w:type="dxa" w:w="120"/>
            </w:tcMar>
          </w:tcPr>
          <w:p>
            <w:r>
              <w:rPr>
                <w:b w:val="false"/>
                <w:bCs w:val="false"/>
                <w:sz w:val="20"/>
                <w:szCs w:val="20"/>
              </w:rPr>
              <w:t xml:space="preserve">SIH26070</w:t>
            </w:r>
          </w:p>
        </w:tc>
      </w:tr>
      <w:tr>
        <w:tc>
          <w:tcPr>
            <w:tcW w:type="dxa" w:w="2400"/>
            <w:shd w:fill="1F4E78" w:val="clear"/>
            <w:tcMar>
              <w:top w:type="dxa" w:w="80"/>
              <w:left w:type="dxa" w:w="120"/>
              <w:bottom w:type="dxa" w:w="80"/>
              <w:right w:type="dxa" w:w="120"/>
            </w:tcMar>
          </w:tcPr>
          <w:p>
            <w:r>
              <w:rPr>
                <w:b/>
                <w:bCs/>
                <w:color w:val="FFFFFF"/>
                <w:sz w:val="20"/>
                <w:szCs w:val="20"/>
              </w:rPr>
              <w:t xml:space="preserve">Title</w:t>
            </w:r>
          </w:p>
        </w:tc>
        <w:tc>
          <w:tcPr>
            <w:tcW w:type="dxa" w:w="6950"/>
            <w:tcMar>
              <w:top w:type="dxa" w:w="80"/>
              <w:left w:type="dxa" w:w="120"/>
              <w:bottom w:type="dxa" w:w="80"/>
              <w:right w:type="dxa" w:w="120"/>
            </w:tcMar>
          </w:tcPr>
          <w:p>
            <w:r>
              <w:rPr>
                <w:b w:val="false"/>
                <w:bCs w:val="false"/>
                <w:sz w:val="20"/>
                <w:szCs w:val="20"/>
              </w:rPr>
              <w:t xml:space="preserve">AI/ML-based system for identification, classification, and prediction of tropical cyclone patterns using multi-source satellite data</w:t>
            </w:r>
          </w:p>
        </w:tc>
      </w:tr>
      <w:tr>
        <w:tc>
          <w:tcPr>
            <w:tcW w:type="dxa" w:w="2400"/>
            <w:shd w:fill="1F4E78" w:val="clear"/>
            <w:tcMar>
              <w:top w:type="dxa" w:w="80"/>
              <w:left w:type="dxa" w:w="120"/>
              <w:bottom w:type="dxa" w:w="80"/>
              <w:right w:type="dxa" w:w="120"/>
            </w:tcMar>
          </w:tcPr>
          <w:p>
            <w:r>
              <w:rPr>
                <w:b/>
                <w:bCs/>
                <w:color w:val="FFFFFF"/>
                <w:sz w:val="20"/>
                <w:szCs w:val="20"/>
              </w:rPr>
              <w:t xml:space="preserve">Organization</w:t>
            </w:r>
          </w:p>
        </w:tc>
        <w:tc>
          <w:tcPr>
            <w:tcW w:type="dxa" w:w="6950"/>
            <w:tcMar>
              <w:top w:type="dxa" w:w="80"/>
              <w:left w:type="dxa" w:w="120"/>
              <w:bottom w:type="dxa" w:w="80"/>
              <w:right w:type="dxa" w:w="120"/>
            </w:tcMar>
          </w:tcPr>
          <w:p>
            <w:r>
              <w:rPr>
                <w:b w:val="false"/>
                <w:bCs w:val="false"/>
                <w:sz w:val="20"/>
                <w:szCs w:val="20"/>
              </w:rPr>
              <w:t xml:space="preserve">Ministry of Earth Sciences (MoES)</w:t>
            </w:r>
          </w:p>
        </w:tc>
      </w:tr>
      <w:tr>
        <w:tc>
          <w:tcPr>
            <w:tcW w:type="dxa" w:w="2400"/>
            <w:shd w:fill="1F4E78" w:val="clear"/>
            <w:tcMar>
              <w:top w:type="dxa" w:w="80"/>
              <w:left w:type="dxa" w:w="120"/>
              <w:bottom w:type="dxa" w:w="80"/>
              <w:right w:type="dxa" w:w="120"/>
            </w:tcMar>
          </w:tcPr>
          <w:p>
            <w:r>
              <w:rPr>
                <w:b/>
                <w:bCs/>
                <w:color w:val="FFFFFF"/>
                <w:sz w:val="20"/>
                <w:szCs w:val="20"/>
              </w:rPr>
              <w:t xml:space="preserve">Department</w:t>
            </w:r>
          </w:p>
        </w:tc>
        <w:tc>
          <w:tcPr>
            <w:tcW w:type="dxa" w:w="6950"/>
            <w:tcMar>
              <w:top w:type="dxa" w:w="80"/>
              <w:left w:type="dxa" w:w="120"/>
              <w:bottom w:type="dxa" w:w="80"/>
              <w:right w:type="dxa" w:w="120"/>
            </w:tcMar>
          </w:tcPr>
          <w:p>
            <w:r>
              <w:rPr>
                <w:b w:val="false"/>
                <w:bCs w:val="false"/>
                <w:sz w:val="20"/>
                <w:szCs w:val="20"/>
              </w:rPr>
              <w:t xml:space="preserve">India Meteorological Department (IMD)</w:t>
            </w:r>
          </w:p>
        </w:tc>
      </w:tr>
      <w:tr>
        <w:tc>
          <w:tcPr>
            <w:tcW w:type="dxa" w:w="2400"/>
            <w:shd w:fill="1F4E78" w:val="clear"/>
            <w:tcMar>
              <w:top w:type="dxa" w:w="80"/>
              <w:left w:type="dxa" w:w="120"/>
              <w:bottom w:type="dxa" w:w="80"/>
              <w:right w:type="dxa" w:w="120"/>
            </w:tcMar>
          </w:tcPr>
          <w:p>
            <w:r>
              <w:rPr>
                <w:b/>
                <w:bCs/>
                <w:color w:val="FFFFFF"/>
                <w:sz w:val="20"/>
                <w:szCs w:val="20"/>
              </w:rPr>
              <w:t xml:space="preserve">Category / Theme</w:t>
            </w:r>
          </w:p>
        </w:tc>
        <w:tc>
          <w:tcPr>
            <w:tcW w:type="dxa" w:w="6950"/>
            <w:tcMar>
              <w:top w:type="dxa" w:w="80"/>
              <w:left w:type="dxa" w:w="120"/>
              <w:bottom w:type="dxa" w:w="80"/>
              <w:right w:type="dxa" w:w="120"/>
            </w:tcMar>
          </w:tcPr>
          <w:p>
            <w:r>
              <w:rPr>
                <w:b w:val="false"/>
                <w:bCs w:val="false"/>
                <w:sz w:val="20"/>
                <w:szCs w:val="20"/>
              </w:rPr>
              <w:t xml:space="preserve">Software / Disaster Management</w:t>
            </w:r>
          </w:p>
        </w:tc>
      </w:tr>
      <w:tr>
        <w:tc>
          <w:tcPr>
            <w:tcW w:type="dxa" w:w="2400"/>
            <w:shd w:fill="1F4E78" w:val="clear"/>
            <w:tcMar>
              <w:top w:type="dxa" w:w="80"/>
              <w:left w:type="dxa" w:w="120"/>
              <w:bottom w:type="dxa" w:w="80"/>
              <w:right w:type="dxa" w:w="120"/>
            </w:tcMar>
          </w:tcPr>
          <w:p>
            <w:r>
              <w:rPr>
                <w:b/>
                <w:bCs/>
                <w:color w:val="FFFFFF"/>
                <w:sz w:val="20"/>
                <w:szCs w:val="20"/>
              </w:rPr>
              <w:t xml:space="preserve">Idea submission deadline</w:t>
            </w:r>
          </w:p>
        </w:tc>
        <w:tc>
          <w:tcPr>
            <w:tcW w:type="dxa" w:w="6950"/>
            <w:tcMar>
              <w:top w:type="dxa" w:w="80"/>
              <w:left w:type="dxa" w:w="120"/>
              <w:bottom w:type="dxa" w:w="80"/>
              <w:right w:type="dxa" w:w="120"/>
            </w:tcMar>
          </w:tcPr>
          <w:p>
            <w:r>
              <w:rPr>
                <w:b w:val="false"/>
                <w:bCs w:val="false"/>
                <w:sz w:val="20"/>
                <w:szCs w:val="20"/>
              </w:rPr>
              <w:t xml:space="preserve">20 September 2026</w:t>
            </w:r>
          </w:p>
        </w:tc>
      </w:tr>
    </w:tbl>
    <w:p>
      <w:pPr>
        <w:spacing w:after="160"/>
      </w:pPr>
      <w:r>
        <w:t xml:space="preserve"/>
      </w:r>
    </w:p>
    <w:p>
      <w:pPr>
        <w:spacing w:after="160"/>
      </w:pPr>
      <w:r>
        <w:t xml:space="preserve">In plain terms: IMD currently classifies cyclone intensity manually using the Dvorak technique — a trained analyst reads cloud structure off INSAT-3D imagery and estimates intensity by eye. It's slow, subjective, and doesn't scale across every developing system in the basin. SIH26070 asks for an AI/ML system that automates this end to end, using more than one satellite data source.</w:t>
      </w:r>
    </w:p>
    <w:p>
      <w:pPr>
        <w:pStyle w:val="Heading1"/>
        <w:spacing w:after="160" w:before="320"/>
      </w:pPr>
      <w:r>
        <w:t xml:space="preserve">2. Breaking Down What's Actually Being Asked</w:t>
      </w:r>
    </w:p>
    <w:p>
      <w:pPr>
        <w:pStyle w:val="ListParagraph"/>
        <w:numPr>
          <w:ilvl w:val="0"/>
          <w:numId w:val="1"/>
        </w:numPr>
        <w:spacing w:after="80"/>
      </w:pPr>
      <w:r>
        <w:t xml:space="preserve">Identification — detect a cyclonic disturbance in satellite imagery, ideally at the pre-genesis / low-pressure-area stage, before IMD's official bulletin names it.</w:t>
      </w:r>
    </w:p>
    <w:p>
      <w:pPr>
        <w:pStyle w:val="ListParagraph"/>
        <w:numPr>
          <w:ilvl w:val="0"/>
          <w:numId w:val="1"/>
        </w:numPr>
        <w:spacing w:after="80"/>
      </w:pPr>
      <w:r>
        <w:t xml:space="preserve">Classification — map the storm's current cloud structure to IMD's intensity scale (Depression → Deep Depression → Cyclonic Storm → Severe CS → Very Severe CS → Extremely Severe CS → Super Cyclonic Storm), i.e. automate the Dvorak technique.</w:t>
      </w:r>
    </w:p>
    <w:p>
      <w:pPr>
        <w:pStyle w:val="ListParagraph"/>
        <w:numPr>
          <w:ilvl w:val="0"/>
          <w:numId w:val="1"/>
        </w:numPr>
        <w:spacing w:after="80"/>
      </w:pPr>
      <w:r>
        <w:t xml:space="preserve">Prediction — forecast track (lat/lon) and intensity 24–72 hours ahead, and flag rapid intensification — the case that causes the most damage because warnings don't update fast enough.</w:t>
      </w:r>
    </w:p>
    <w:p>
      <w:pPr>
        <w:pStyle w:val="ListParagraph"/>
        <w:numPr>
          <w:ilvl w:val="0"/>
          <w:numId w:val="1"/>
        </w:numPr>
        <w:spacing w:after="80"/>
      </w:pPr>
      <w:r>
        <w:t xml:space="preserve">Multi-source — don't rely on one imagery feed alone; fuse INSAT-3D imagery with scatterometer winds, rainfall, and reanalysis data, the way a human forecaster synthesizes multiple products.</w:t>
      </w:r>
    </w:p>
    <w:p>
      <w:pPr>
        <w:pStyle w:val="Heading1"/>
        <w:spacing w:after="160" w:before="320"/>
      </w:pPr>
      <w:r>
        <w:t xml:space="preserve">3. Our Proposed Solution: a 4-Stage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2150"/>
      </w:tblGrid>
      <w:tr>
        <w:tc>
          <w:tcPr>
            <w:tcW w:type="dxa" w:w="1700"/>
            <w:shd w:fill="1F4E78" w:val="clear"/>
            <w:tcMar>
              <w:top w:type="dxa" w:w="80"/>
              <w:left w:type="dxa" w:w="120"/>
              <w:bottom w:type="dxa" w:w="80"/>
              <w:right w:type="dxa" w:w="120"/>
            </w:tcMar>
          </w:tcPr>
          <w:p>
            <w:r>
              <w:rPr>
                <w:b/>
                <w:bCs/>
                <w:color w:val="FFFFFF"/>
                <w:sz w:val="20"/>
                <w:szCs w:val="20"/>
              </w:rPr>
              <w:t xml:space="preserve">Stage</w:t>
            </w:r>
          </w:p>
        </w:tc>
        <w:tc>
          <w:tcPr>
            <w:tcW w:type="dxa" w:w="2600"/>
            <w:shd w:fill="1F4E78" w:val="clear"/>
            <w:tcMar>
              <w:top w:type="dxa" w:w="80"/>
              <w:left w:type="dxa" w:w="120"/>
              <w:bottom w:type="dxa" w:w="80"/>
              <w:right w:type="dxa" w:w="120"/>
            </w:tcMar>
          </w:tcPr>
          <w:p>
            <w:r>
              <w:rPr>
                <w:b/>
                <w:bCs/>
                <w:color w:val="FFFFFF"/>
                <w:sz w:val="20"/>
                <w:szCs w:val="20"/>
              </w:rPr>
              <w:t xml:space="preserve">What it does</w:t>
            </w:r>
          </w:p>
        </w:tc>
        <w:tc>
          <w:tcPr>
            <w:tcW w:type="dxa" w:w="2900"/>
            <w:shd w:fill="1F4E78" w:val="clear"/>
            <w:tcMar>
              <w:top w:type="dxa" w:w="80"/>
              <w:left w:type="dxa" w:w="120"/>
              <w:bottom w:type="dxa" w:w="80"/>
              <w:right w:type="dxa" w:w="120"/>
            </w:tcMar>
          </w:tcPr>
          <w:p>
            <w:r>
              <w:rPr>
                <w:b/>
                <w:bCs/>
                <w:color w:val="FFFFFF"/>
                <w:sz w:val="20"/>
                <w:szCs w:val="20"/>
              </w:rPr>
              <w:t xml:space="preserve">Method</w:t>
            </w:r>
          </w:p>
        </w:tc>
        <w:tc>
          <w:tcPr>
            <w:tcW w:type="dxa" w:w="2150"/>
            <w:shd w:fill="1F4E78" w:val="clear"/>
            <w:tcMar>
              <w:top w:type="dxa" w:w="80"/>
              <w:left w:type="dxa" w:w="120"/>
              <w:bottom w:type="dxa" w:w="80"/>
              <w:right w:type="dxa" w:w="120"/>
            </w:tcMar>
          </w:tcPr>
          <w:p>
            <w:r>
              <w:rPr>
                <w:b/>
                <w:bCs/>
                <w:color w:val="FFFFFF"/>
                <w:sz w:val="20"/>
                <w:szCs w:val="20"/>
              </w:rPr>
              <w:t xml:space="preserve">Maps to PS requirement</w:t>
            </w:r>
          </w:p>
        </w:tc>
      </w:tr>
      <w:tr>
        <w:tc>
          <w:tcPr>
            <w:tcW w:type="dxa" w:w="1700"/>
            <w:tcMar>
              <w:top w:type="dxa" w:w="80"/>
              <w:left w:type="dxa" w:w="120"/>
              <w:bottom w:type="dxa" w:w="80"/>
              <w:right w:type="dxa" w:w="120"/>
            </w:tcMar>
          </w:tcPr>
          <w:p>
            <w:r>
              <w:rPr>
                <w:b w:val="false"/>
                <w:bCs w:val="false"/>
                <w:sz w:val="20"/>
                <w:szCs w:val="20"/>
              </w:rPr>
              <w:t xml:space="preserve">1. Genesis / Detection</w:t>
            </w:r>
          </w:p>
        </w:tc>
        <w:tc>
          <w:tcPr>
            <w:tcW w:type="dxa" w:w="2600"/>
            <w:tcMar>
              <w:top w:type="dxa" w:w="80"/>
              <w:left w:type="dxa" w:w="120"/>
              <w:bottom w:type="dxa" w:w="80"/>
              <w:right w:type="dxa" w:w="120"/>
            </w:tcMar>
          </w:tcPr>
          <w:p>
            <w:r>
              <w:rPr>
                <w:b w:val="false"/>
                <w:bCs w:val="false"/>
                <w:sz w:val="20"/>
                <w:szCs w:val="20"/>
              </w:rPr>
              <w:t xml:space="preserve">Flags a cyclonic disturbance in satellite imagery at the low-pressure-area stage, before it is officially named</w:t>
            </w:r>
          </w:p>
        </w:tc>
        <w:tc>
          <w:tcPr>
            <w:tcW w:type="dxa" w:w="2900"/>
            <w:tcMar>
              <w:top w:type="dxa" w:w="80"/>
              <w:left w:type="dxa" w:w="120"/>
              <w:bottom w:type="dxa" w:w="80"/>
              <w:right w:type="dxa" w:w="120"/>
            </w:tcMar>
          </w:tcPr>
          <w:p>
            <w:r>
              <w:rPr>
                <w:b w:val="false"/>
                <w:bCs w:val="false"/>
                <w:sz w:val="20"/>
                <w:szCs w:val="20"/>
              </w:rPr>
              <w:t xml:space="preserve">Anomaly detector / lightweight object detector on IR imagery tiles</w:t>
            </w:r>
          </w:p>
        </w:tc>
        <w:tc>
          <w:tcPr>
            <w:tcW w:type="dxa" w:w="2150"/>
            <w:tcMar>
              <w:top w:type="dxa" w:w="80"/>
              <w:left w:type="dxa" w:w="120"/>
              <w:bottom w:type="dxa" w:w="80"/>
              <w:right w:type="dxa" w:w="120"/>
            </w:tcMar>
          </w:tcPr>
          <w:p>
            <w:r>
              <w:rPr>
                <w:b w:val="false"/>
                <w:bCs w:val="false"/>
                <w:sz w:val="20"/>
                <w:szCs w:val="20"/>
              </w:rPr>
              <w:t xml:space="preserve">Identification</w:t>
            </w:r>
          </w:p>
        </w:tc>
      </w:tr>
      <w:tr>
        <w:tc>
          <w:tcPr>
            <w:tcW w:type="dxa" w:w="1700"/>
            <w:tcMar>
              <w:top w:type="dxa" w:w="80"/>
              <w:left w:type="dxa" w:w="120"/>
              <w:bottom w:type="dxa" w:w="80"/>
              <w:right w:type="dxa" w:w="120"/>
            </w:tcMar>
          </w:tcPr>
          <w:p>
            <w:r>
              <w:rPr>
                <w:b w:val="false"/>
                <w:bCs w:val="false"/>
                <w:sz w:val="20"/>
                <w:szCs w:val="20"/>
              </w:rPr>
              <w:t xml:space="preserve">2. Classification</w:t>
            </w:r>
          </w:p>
        </w:tc>
        <w:tc>
          <w:tcPr>
            <w:tcW w:type="dxa" w:w="2600"/>
            <w:tcMar>
              <w:top w:type="dxa" w:w="80"/>
              <w:left w:type="dxa" w:w="120"/>
              <w:bottom w:type="dxa" w:w="80"/>
              <w:right w:type="dxa" w:w="120"/>
            </w:tcMar>
          </w:tcPr>
          <w:p>
            <w:r>
              <w:rPr>
                <w:b w:val="false"/>
                <w:bCs w:val="false"/>
                <w:sz w:val="20"/>
                <w:szCs w:val="20"/>
              </w:rPr>
              <w:t xml:space="preserve">Maps storm cloud structure to IMD's 8-level intensity scale; estimates wind speed</w:t>
            </w:r>
          </w:p>
        </w:tc>
        <w:tc>
          <w:tcPr>
            <w:tcW w:type="dxa" w:w="2900"/>
            <w:tcMar>
              <w:top w:type="dxa" w:w="80"/>
              <w:left w:type="dxa" w:w="120"/>
              <w:bottom w:type="dxa" w:w="80"/>
              <w:right w:type="dxa" w:w="120"/>
            </w:tcMar>
          </w:tcPr>
          <w:p>
            <w:r>
              <w:rPr>
                <w:b w:val="false"/>
                <w:bCs w:val="false"/>
                <w:sz w:val="20"/>
                <w:szCs w:val="20"/>
              </w:rPr>
              <w:t xml:space="preserve">CNN (EfficientNet-B0) with Grad-CAM explainability — built and working (see companion doc)</w:t>
            </w:r>
          </w:p>
        </w:tc>
        <w:tc>
          <w:tcPr>
            <w:tcW w:type="dxa" w:w="2150"/>
            <w:tcMar>
              <w:top w:type="dxa" w:w="80"/>
              <w:left w:type="dxa" w:w="120"/>
              <w:bottom w:type="dxa" w:w="80"/>
              <w:right w:type="dxa" w:w="120"/>
            </w:tcMar>
          </w:tcPr>
          <w:p>
            <w:r>
              <w:rPr>
                <w:b w:val="false"/>
                <w:bCs w:val="false"/>
                <w:sz w:val="20"/>
                <w:szCs w:val="20"/>
              </w:rPr>
              <w:t xml:space="preserve">Classification</w:t>
            </w:r>
          </w:p>
        </w:tc>
      </w:tr>
      <w:tr>
        <w:tc>
          <w:tcPr>
            <w:tcW w:type="dxa" w:w="1700"/>
            <w:tcMar>
              <w:top w:type="dxa" w:w="80"/>
              <w:left w:type="dxa" w:w="120"/>
              <w:bottom w:type="dxa" w:w="80"/>
              <w:right w:type="dxa" w:w="120"/>
            </w:tcMar>
          </w:tcPr>
          <w:p>
            <w:r>
              <w:rPr>
                <w:b w:val="false"/>
                <w:bCs w:val="false"/>
                <w:sz w:val="20"/>
                <w:szCs w:val="20"/>
              </w:rPr>
              <w:t xml:space="preserve">3. Prediction</w:t>
            </w:r>
          </w:p>
        </w:tc>
        <w:tc>
          <w:tcPr>
            <w:tcW w:type="dxa" w:w="2600"/>
            <w:tcMar>
              <w:top w:type="dxa" w:w="80"/>
              <w:left w:type="dxa" w:w="120"/>
              <w:bottom w:type="dxa" w:w="80"/>
              <w:right w:type="dxa" w:w="120"/>
            </w:tcMar>
          </w:tcPr>
          <w:p>
            <w:r>
              <w:rPr>
                <w:b w:val="false"/>
                <w:bCs w:val="false"/>
                <w:sz w:val="20"/>
                <w:szCs w:val="20"/>
              </w:rPr>
              <w:t xml:space="preserve">Forecasts track and intensity 24–72h ahead; flags rapid intensification</w:t>
            </w:r>
          </w:p>
        </w:tc>
        <w:tc>
          <w:tcPr>
            <w:tcW w:type="dxa" w:w="2900"/>
            <w:tcMar>
              <w:top w:type="dxa" w:w="80"/>
              <w:left w:type="dxa" w:w="120"/>
              <w:bottom w:type="dxa" w:w="80"/>
              <w:right w:type="dxa" w:w="120"/>
            </w:tcMar>
          </w:tcPr>
          <w:p>
            <w:r>
              <w:rPr>
                <w:b w:val="false"/>
                <w:bCs w:val="false"/>
                <w:sz w:val="20"/>
                <w:szCs w:val="20"/>
              </w:rPr>
              <w:t xml:space="preserve">ConvLSTM / small transformer over a time window of frames + reanalysis features</w:t>
            </w:r>
          </w:p>
        </w:tc>
        <w:tc>
          <w:tcPr>
            <w:tcW w:type="dxa" w:w="2150"/>
            <w:tcMar>
              <w:top w:type="dxa" w:w="80"/>
              <w:left w:type="dxa" w:w="120"/>
              <w:bottom w:type="dxa" w:w="80"/>
              <w:right w:type="dxa" w:w="120"/>
            </w:tcMar>
          </w:tcPr>
          <w:p>
            <w:r>
              <w:rPr>
                <w:b w:val="false"/>
                <w:bCs w:val="false"/>
                <w:sz w:val="20"/>
                <w:szCs w:val="20"/>
              </w:rPr>
              <w:t xml:space="preserve">Prediction</w:t>
            </w:r>
          </w:p>
        </w:tc>
      </w:tr>
      <w:tr>
        <w:tc>
          <w:tcPr>
            <w:tcW w:type="dxa" w:w="1700"/>
            <w:tcMar>
              <w:top w:type="dxa" w:w="80"/>
              <w:left w:type="dxa" w:w="120"/>
              <w:bottom w:type="dxa" w:w="80"/>
              <w:right w:type="dxa" w:w="120"/>
            </w:tcMar>
          </w:tcPr>
          <w:p>
            <w:r>
              <w:rPr>
                <w:b w:val="false"/>
                <w:bCs w:val="false"/>
                <w:sz w:val="20"/>
                <w:szCs w:val="20"/>
              </w:rPr>
              <w:t xml:space="preserve">4. Fusion + Dashboard</w:t>
            </w:r>
          </w:p>
        </w:tc>
        <w:tc>
          <w:tcPr>
            <w:tcW w:type="dxa" w:w="2600"/>
            <w:tcMar>
              <w:top w:type="dxa" w:w="80"/>
              <w:left w:type="dxa" w:w="120"/>
              <w:bottom w:type="dxa" w:w="80"/>
              <w:right w:type="dxa" w:w="120"/>
            </w:tcMar>
          </w:tcPr>
          <w:p>
            <w:r>
              <w:rPr>
                <w:b w:val="false"/>
                <w:bCs w:val="false"/>
                <w:sz w:val="20"/>
                <w:szCs w:val="20"/>
              </w:rPr>
              <w:t xml:space="preserve">Combines INSAT-3D imagery with scatterometer winds and reanalysis data; presents everything to a forecaster</w:t>
            </w:r>
          </w:p>
        </w:tc>
        <w:tc>
          <w:tcPr>
            <w:tcW w:type="dxa" w:w="2900"/>
            <w:tcMar>
              <w:top w:type="dxa" w:w="80"/>
              <w:left w:type="dxa" w:w="120"/>
              <w:bottom w:type="dxa" w:w="80"/>
              <w:right w:type="dxa" w:w="120"/>
            </w:tcMar>
          </w:tcPr>
          <w:p>
            <w:r>
              <w:rPr>
                <w:b w:val="false"/>
                <w:bCs w:val="false"/>
                <w:sz w:val="20"/>
                <w:szCs w:val="20"/>
              </w:rPr>
              <w:t xml:space="preserve">Feature-level fusion; Streamlit/React dashboard</w:t>
            </w:r>
          </w:p>
        </w:tc>
        <w:tc>
          <w:tcPr>
            <w:tcW w:type="dxa" w:w="2150"/>
            <w:tcMar>
              <w:top w:type="dxa" w:w="80"/>
              <w:left w:type="dxa" w:w="120"/>
              <w:bottom w:type="dxa" w:w="80"/>
              <w:right w:type="dxa" w:w="120"/>
            </w:tcMar>
          </w:tcPr>
          <w:p>
            <w:r>
              <w:rPr>
                <w:b w:val="false"/>
                <w:bCs w:val="false"/>
                <w:sz w:val="20"/>
                <w:szCs w:val="20"/>
              </w:rPr>
              <w:t xml:space="preserve">“Multi-source satellite data”</w:t>
            </w:r>
          </w:p>
        </w:tc>
      </w:tr>
    </w:tbl>
    <w:p>
      <w:pPr>
        <w:spacing w:after="160"/>
      </w:pPr>
      <w:r>
        <w:t xml:space="preserve"/>
      </w:r>
    </w:p>
    <w:p>
      <w:pPr>
        <w:spacing w:after="160"/>
      </w:pPr>
      <w:r>
        <w:t xml:space="preserve">Stage 2 (Classification) is the one that is actually built and running on real satellite data today — see the companion “MVP Progress” document for exactly what that means, what the real results are, and what's left.</w:t>
      </w:r>
    </w:p>
    <w:p>
      <w:pPr>
        <w:pStyle w:val="Heading1"/>
        <w:spacing w:after="160" w:before="320"/>
      </w:pPr>
      <w:r>
        <w:t xml:space="preserve">4. Multi-Source Data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4E78" w:val="clear"/>
            <w:tcMar>
              <w:top w:type="dxa" w:w="80"/>
              <w:left w:type="dxa" w:w="120"/>
              <w:bottom w:type="dxa" w:w="80"/>
              <w:right w:type="dxa" w:w="120"/>
            </w:tcMar>
          </w:tcPr>
          <w:p>
            <w:r>
              <w:rPr>
                <w:b/>
                <w:bCs/>
                <w:color w:val="FFFFFF"/>
                <w:sz w:val="20"/>
                <w:szCs w:val="20"/>
              </w:rPr>
              <w:t xml:space="preserve">Source</w:t>
            </w:r>
          </w:p>
        </w:tc>
        <w:tc>
          <w:tcPr>
            <w:tcW w:type="dxa" w:w="3450"/>
            <w:shd w:fill="1F4E78" w:val="clear"/>
            <w:tcMar>
              <w:top w:type="dxa" w:w="80"/>
              <w:left w:type="dxa" w:w="120"/>
              <w:bottom w:type="dxa" w:w="80"/>
              <w:right w:type="dxa" w:w="120"/>
            </w:tcMar>
          </w:tcPr>
          <w:p>
            <w:r>
              <w:rPr>
                <w:b/>
                <w:bCs/>
                <w:color w:val="FFFFFF"/>
                <w:sz w:val="20"/>
                <w:szCs w:val="20"/>
              </w:rPr>
              <w:t xml:space="preserve">What it provides</w:t>
            </w:r>
          </w:p>
        </w:tc>
        <w:tc>
          <w:tcPr>
            <w:tcW w:type="dxa" w:w="3500"/>
            <w:shd w:fill="1F4E78" w:val="clear"/>
            <w:tcMar>
              <w:top w:type="dxa" w:w="80"/>
              <w:left w:type="dxa" w:w="120"/>
              <w:bottom w:type="dxa" w:w="80"/>
              <w:right w:type="dxa" w:w="120"/>
            </w:tcMar>
          </w:tcPr>
          <w:p>
            <w:r>
              <w:rPr>
                <w:b/>
                <w:bCs/>
                <w:color w:val="FFFFFF"/>
                <w:sz w:val="20"/>
                <w:szCs w:val="20"/>
              </w:rPr>
              <w:t xml:space="preserve">Status</w:t>
            </w:r>
          </w:p>
        </w:tc>
      </w:tr>
      <w:tr>
        <w:tc>
          <w:tcPr>
            <w:tcW w:type="dxa" w:w="2400"/>
            <w:tcMar>
              <w:top w:type="dxa" w:w="80"/>
              <w:left w:type="dxa" w:w="120"/>
              <w:bottom w:type="dxa" w:w="80"/>
              <w:right w:type="dxa" w:w="120"/>
            </w:tcMar>
          </w:tcPr>
          <w:p>
            <w:r>
              <w:rPr>
                <w:b w:val="false"/>
                <w:bCs w:val="false"/>
                <w:sz w:val="20"/>
                <w:szCs w:val="20"/>
              </w:rPr>
              <w:t xml:space="preserve">INSAT-3D/3DR (MOSDAC)</w:t>
            </w:r>
          </w:p>
        </w:tc>
        <w:tc>
          <w:tcPr>
            <w:tcW w:type="dxa" w:w="3450"/>
            <w:tcMar>
              <w:top w:type="dxa" w:w="80"/>
              <w:left w:type="dxa" w:w="120"/>
              <w:bottom w:type="dxa" w:w="80"/>
              <w:right w:type="dxa" w:w="120"/>
            </w:tcMar>
          </w:tcPr>
          <w:p>
            <w:r>
              <w:rPr>
                <w:b w:val="false"/>
                <w:bCs w:val="false"/>
                <w:sz w:val="20"/>
                <w:szCs w:val="20"/>
              </w:rPr>
              <w:t xml:space="preserve">IR1, IR2, MIR, WV, VIS imagery — the primary imagery source IMD itself uses</w:t>
            </w:r>
          </w:p>
        </w:tc>
        <w:tc>
          <w:tcPr>
            <w:tcW w:type="dxa" w:w="3500"/>
            <w:tcMar>
              <w:top w:type="dxa" w:w="80"/>
              <w:left w:type="dxa" w:w="120"/>
              <w:bottom w:type="dxa" w:w="80"/>
              <w:right w:type="dxa" w:w="120"/>
            </w:tcMar>
          </w:tcPr>
          <w:p>
            <w:r>
              <w:rPr>
                <w:b w:val="false"/>
                <w:bCs w:val="false"/>
                <w:sz w:val="20"/>
                <w:szCs w:val="20"/>
              </w:rPr>
              <w:t xml:space="preserve">Registration submitted; awaiting MOSDAC admin approval</w:t>
            </w:r>
          </w:p>
        </w:tc>
      </w:tr>
      <w:tr>
        <w:tc>
          <w:tcPr>
            <w:tcW w:type="dxa" w:w="2400"/>
            <w:tcMar>
              <w:top w:type="dxa" w:w="80"/>
              <w:left w:type="dxa" w:w="120"/>
              <w:bottom w:type="dxa" w:w="80"/>
              <w:right w:type="dxa" w:w="120"/>
            </w:tcMar>
          </w:tcPr>
          <w:p>
            <w:r>
              <w:rPr>
                <w:b w:val="false"/>
                <w:bCs w:val="false"/>
                <w:sz w:val="20"/>
                <w:szCs w:val="20"/>
              </w:rPr>
              <w:t xml:space="preserve">Kaggle: “INSAT3D Infrared &amp; Raw Cyclone Imagery (2012–2021)”</w:t>
            </w:r>
          </w:p>
        </w:tc>
        <w:tc>
          <w:tcPr>
            <w:tcW w:type="dxa" w:w="3450"/>
            <w:tcMar>
              <w:top w:type="dxa" w:w="80"/>
              <w:left w:type="dxa" w:w="120"/>
              <w:bottom w:type="dxa" w:w="80"/>
              <w:right w:type="dxa" w:w="120"/>
            </w:tcMar>
          </w:tcPr>
          <w:p>
            <w:r>
              <w:rPr>
                <w:b w:val="false"/>
                <w:bCs w:val="false"/>
                <w:sz w:val="20"/>
                <w:szCs w:val="20"/>
              </w:rPr>
              <w:t xml:space="preserve">136 real labeled IR + raw images with wind speed (knots)</w:t>
            </w:r>
          </w:p>
        </w:tc>
        <w:tc>
          <w:tcPr>
            <w:tcW w:type="dxa" w:w="3500"/>
            <w:tcMar>
              <w:top w:type="dxa" w:w="80"/>
              <w:left w:type="dxa" w:w="120"/>
              <w:bottom w:type="dxa" w:w="80"/>
              <w:right w:type="dxa" w:w="120"/>
            </w:tcMar>
          </w:tcPr>
          <w:p>
            <w:r>
              <w:rPr>
                <w:b w:val="false"/>
                <w:bCs w:val="false"/>
                <w:sz w:val="20"/>
                <w:szCs w:val="20"/>
              </w:rPr>
              <w:t xml:space="preserve">In use now — today's working prototype is trained on this</w:t>
            </w:r>
          </w:p>
        </w:tc>
      </w:tr>
      <w:tr>
        <w:tc>
          <w:tcPr>
            <w:tcW w:type="dxa" w:w="2400"/>
            <w:tcMar>
              <w:top w:type="dxa" w:w="80"/>
              <w:left w:type="dxa" w:w="120"/>
              <w:bottom w:type="dxa" w:w="80"/>
              <w:right w:type="dxa" w:w="120"/>
            </w:tcMar>
          </w:tcPr>
          <w:p>
            <w:r>
              <w:rPr>
                <w:b w:val="false"/>
                <w:bCs w:val="false"/>
                <w:sz w:val="20"/>
                <w:szCs w:val="20"/>
              </w:rPr>
              <w:t xml:space="preserve">CyINSAT (research dataset)</w:t>
            </w:r>
          </w:p>
        </w:tc>
        <w:tc>
          <w:tcPr>
            <w:tcW w:type="dxa" w:w="3450"/>
            <w:tcMar>
              <w:top w:type="dxa" w:w="80"/>
              <w:left w:type="dxa" w:w="120"/>
              <w:bottom w:type="dxa" w:w="80"/>
              <w:right w:type="dxa" w:w="120"/>
            </w:tcMar>
          </w:tcPr>
          <w:p>
            <w:r>
              <w:rPr>
                <w:b w:val="false"/>
                <w:bCs w:val="false"/>
                <w:sz w:val="20"/>
                <w:szCs w:val="20"/>
              </w:rPr>
              <w:t xml:space="preserve">39 storms, 111k images, wind/pressure/position, proper storm IDs</w:t>
            </w:r>
          </w:p>
        </w:tc>
        <w:tc>
          <w:tcPr>
            <w:tcW w:type="dxa" w:w="3500"/>
            <w:tcMar>
              <w:top w:type="dxa" w:w="80"/>
              <w:left w:type="dxa" w:w="120"/>
              <w:bottom w:type="dxa" w:w="80"/>
              <w:right w:type="dxa" w:w="120"/>
            </w:tcMar>
          </w:tcPr>
          <w:p>
            <w:r>
              <w:rPr>
                <w:b w:val="false"/>
                <w:bCs w:val="false"/>
                <w:sz w:val="20"/>
                <w:szCs w:val="20"/>
              </w:rPr>
              <w:t xml:space="preserve">Not actually publicly released despite the paper's claim — author contacted</w:t>
            </w:r>
          </w:p>
        </w:tc>
      </w:tr>
      <w:tr>
        <w:tc>
          <w:tcPr>
            <w:tcW w:type="dxa" w:w="2400"/>
            <w:tcMar>
              <w:top w:type="dxa" w:w="80"/>
              <w:left w:type="dxa" w:w="120"/>
              <w:bottom w:type="dxa" w:w="80"/>
              <w:right w:type="dxa" w:w="120"/>
            </w:tcMar>
          </w:tcPr>
          <w:p>
            <w:r>
              <w:rPr>
                <w:b w:val="false"/>
                <w:bCs w:val="false"/>
                <w:sz w:val="20"/>
                <w:szCs w:val="20"/>
              </w:rPr>
              <w:t xml:space="preserve">SCATSAT / OceanSat scatterometer</w:t>
            </w:r>
          </w:p>
        </w:tc>
        <w:tc>
          <w:tcPr>
            <w:tcW w:type="dxa" w:w="3450"/>
            <w:tcMar>
              <w:top w:type="dxa" w:w="80"/>
              <w:left w:type="dxa" w:w="120"/>
              <w:bottom w:type="dxa" w:w="80"/>
              <w:right w:type="dxa" w:w="120"/>
            </w:tcMar>
          </w:tcPr>
          <w:p>
            <w:r>
              <w:rPr>
                <w:b w:val="false"/>
                <w:bCs w:val="false"/>
                <w:sz w:val="20"/>
                <w:szCs w:val="20"/>
              </w:rPr>
              <w:t xml:space="preserve">Ocean-surface wind vectors — the “multi-source” ingredient beyond imagery</w:t>
            </w:r>
          </w:p>
        </w:tc>
        <w:tc>
          <w:tcPr>
            <w:tcW w:type="dxa" w:w="3500"/>
            <w:tcMar>
              <w:top w:type="dxa" w:w="80"/>
              <w:left w:type="dxa" w:w="120"/>
              <w:bottom w:type="dxa" w:w="80"/>
              <w:right w:type="dxa" w:w="120"/>
            </w:tcMar>
          </w:tcPr>
          <w:p>
            <w:r>
              <w:rPr>
                <w:b w:val="false"/>
                <w:bCs w:val="false"/>
                <w:sz w:val="20"/>
                <w:szCs w:val="20"/>
              </w:rPr>
              <w:t xml:space="preserve">Planned, not yet integrated</w:t>
            </w:r>
          </w:p>
        </w:tc>
      </w:tr>
      <w:tr>
        <w:tc>
          <w:tcPr>
            <w:tcW w:type="dxa" w:w="2400"/>
            <w:tcMar>
              <w:top w:type="dxa" w:w="80"/>
              <w:left w:type="dxa" w:w="120"/>
              <w:bottom w:type="dxa" w:w="80"/>
              <w:right w:type="dxa" w:w="120"/>
            </w:tcMar>
          </w:tcPr>
          <w:p>
            <w:r>
              <w:rPr>
                <w:b w:val="false"/>
                <w:bCs w:val="false"/>
                <w:sz w:val="20"/>
                <w:szCs w:val="20"/>
              </w:rPr>
              <w:t xml:space="preserve">ERA5 reanalysis</w:t>
            </w:r>
          </w:p>
        </w:tc>
        <w:tc>
          <w:tcPr>
            <w:tcW w:type="dxa" w:w="3450"/>
            <w:tcMar>
              <w:top w:type="dxa" w:w="80"/>
              <w:left w:type="dxa" w:w="120"/>
              <w:bottom w:type="dxa" w:w="80"/>
              <w:right w:type="dxa" w:w="120"/>
            </w:tcMar>
          </w:tcPr>
          <w:p>
            <w:r>
              <w:rPr>
                <w:b w:val="false"/>
                <w:bCs w:val="false"/>
                <w:sz w:val="20"/>
                <w:szCs w:val="20"/>
              </w:rPr>
              <w:t xml:space="preserve">SST, wind shear, steering flow — physical drivers for the prediction stage</w:t>
            </w:r>
          </w:p>
        </w:tc>
        <w:tc>
          <w:tcPr>
            <w:tcW w:type="dxa" w:w="3500"/>
            <w:tcMar>
              <w:top w:type="dxa" w:w="80"/>
              <w:left w:type="dxa" w:w="120"/>
              <w:bottom w:type="dxa" w:w="80"/>
              <w:right w:type="dxa" w:w="120"/>
            </w:tcMar>
          </w:tcPr>
          <w:p>
            <w:r>
              <w:rPr>
                <w:b w:val="false"/>
                <w:bCs w:val="false"/>
                <w:sz w:val="20"/>
                <w:szCs w:val="20"/>
              </w:rPr>
              <w:t xml:space="preserve">Planned, not yet integrated</w:t>
            </w:r>
          </w:p>
        </w:tc>
      </w:tr>
      <w:tr>
        <w:tc>
          <w:tcPr>
            <w:tcW w:type="dxa" w:w="2400"/>
            <w:tcMar>
              <w:top w:type="dxa" w:w="80"/>
              <w:left w:type="dxa" w:w="120"/>
              <w:bottom w:type="dxa" w:w="80"/>
              <w:right w:type="dxa" w:w="120"/>
            </w:tcMar>
          </w:tcPr>
          <w:p>
            <w:r>
              <w:rPr>
                <w:b w:val="false"/>
                <w:bCs w:val="false"/>
                <w:sz w:val="20"/>
                <w:szCs w:val="20"/>
              </w:rPr>
              <w:t xml:space="preserve">IBTrACS / RSMC New Delhi best-track</w:t>
            </w:r>
          </w:p>
        </w:tc>
        <w:tc>
          <w:tcPr>
            <w:tcW w:type="dxa" w:w="3450"/>
            <w:tcMar>
              <w:top w:type="dxa" w:w="80"/>
              <w:left w:type="dxa" w:w="120"/>
              <w:bottom w:type="dxa" w:w="80"/>
              <w:right w:type="dxa" w:w="120"/>
            </w:tcMar>
          </w:tcPr>
          <w:p>
            <w:r>
              <w:rPr>
                <w:b w:val="false"/>
                <w:bCs w:val="false"/>
                <w:sz w:val="20"/>
                <w:szCs w:val="20"/>
              </w:rPr>
              <w:t xml:space="preserve">Ground-truth storm tracks for validation</w:t>
            </w:r>
          </w:p>
        </w:tc>
        <w:tc>
          <w:tcPr>
            <w:tcW w:type="dxa" w:w="3500"/>
            <w:tcMar>
              <w:top w:type="dxa" w:w="80"/>
              <w:left w:type="dxa" w:w="120"/>
              <w:bottom w:type="dxa" w:w="80"/>
              <w:right w:type="dxa" w:w="120"/>
            </w:tcMar>
          </w:tcPr>
          <w:p>
            <w:r>
              <w:rPr>
                <w:b w:val="false"/>
                <w:bCs w:val="false"/>
                <w:sz w:val="20"/>
                <w:szCs w:val="20"/>
              </w:rPr>
              <w:t xml:space="preserve">Planned, not yet integrated</w:t>
            </w:r>
          </w:p>
        </w:tc>
      </w:tr>
    </w:tbl>
    <w:p>
      <w:pPr>
        <w:pStyle w:val="Heading1"/>
        <w:spacing w:after="160" w:before="320"/>
      </w:pPr>
      <w:r>
        <w:t xml:space="preserve">5. Why This Is a Strong Answer to SIH26070 (Not Just “A Classifier”)</w:t>
      </w:r>
    </w:p>
    <w:p>
      <w:pPr>
        <w:pStyle w:val="ListParagraph"/>
        <w:numPr>
          <w:ilvl w:val="0"/>
          <w:numId w:val="1"/>
        </w:numPr>
        <w:spacing w:after="80"/>
      </w:pPr>
      <w:r>
        <w:t xml:space="preserve">Genesis lead-time is a concrete, measurable claim (“flags disturbances N hours before IMD's official watch”) that most competing student projects don't attempt — they only classify storms that are already named.</w:t>
      </w:r>
    </w:p>
    <w:p>
      <w:pPr>
        <w:pStyle w:val="ListParagraph"/>
        <w:numPr>
          <w:ilvl w:val="0"/>
          <w:numId w:val="1"/>
        </w:numPr>
        <w:spacing w:after="80"/>
      </w:pPr>
      <w:r>
        <w:t xml:space="preserve">Explainability by default: every classification comes with a Grad-CAM heatmap showing which cloud features (eye, eyewall symmetry, banding) drove the prediction — this builds forecaster trust in what would otherwise be a black box.</w:t>
      </w:r>
    </w:p>
    <w:p>
      <w:pPr>
        <w:pStyle w:val="ListParagraph"/>
        <w:numPr>
          <w:ilvl w:val="0"/>
          <w:numId w:val="1"/>
        </w:numPr>
        <w:spacing w:after="80"/>
      </w:pPr>
      <w:r>
        <w:t xml:space="preserve">Genuinely multi-source, not multi-source in name only: the fusion layer combines imagery with scatterometer winds and reanalysis fields at the feature level before prediction, not just as a checkbox.</w:t>
      </w:r>
    </w:p>
    <w:p>
      <w:pPr>
        <w:pStyle w:val="ListParagraph"/>
        <w:numPr>
          <w:ilvl w:val="0"/>
          <w:numId w:val="1"/>
        </w:numPr>
        <w:spacing w:after="80"/>
      </w:pPr>
      <w:r>
        <w:t xml:space="preserve">Built and validated on real INSAT-3D satellite imagery already, not only a synthetic proof of concept — see companion document for actual numbers.</w:t>
      </w:r>
    </w:p>
    <w:p>
      <w:pPr>
        <w:pStyle w:val="Heading1"/>
        <w:spacing w:after="160" w:before="320"/>
      </w:pPr>
      <w:r>
        <w:t xml:space="preserve">6. Technology Stack</w:t>
      </w:r>
    </w:p>
    <w:p>
      <w:pPr>
        <w:pStyle w:val="ListParagraph"/>
        <w:numPr>
          <w:ilvl w:val="0"/>
          <w:numId w:val="1"/>
        </w:numPr>
        <w:spacing w:after="80"/>
      </w:pPr>
      <w:r>
        <w:t xml:space="preserve">Modeling: PyTorch, torchvision (EfficientNet-B0 backbone), Grad-CAM for explainability</w:t>
      </w:r>
    </w:p>
    <w:p>
      <w:pPr>
        <w:pStyle w:val="ListParagraph"/>
        <w:numPr>
          <w:ilvl w:val="0"/>
          <w:numId w:val="1"/>
        </w:numPr>
        <w:spacing w:after="80"/>
      </w:pPr>
      <w:r>
        <w:t xml:space="preserve">Planned for the prediction stage: ConvLSTM / small transformer over a temporal window of frames</w:t>
      </w:r>
    </w:p>
    <w:p>
      <w:pPr>
        <w:pStyle w:val="ListParagraph"/>
        <w:numPr>
          <w:ilvl w:val="0"/>
          <w:numId w:val="1"/>
        </w:numPr>
        <w:spacing w:after="80"/>
      </w:pPr>
      <w:r>
        <w:t xml:space="preserve">Data: pandas, NumPy, PIL for the imagery pipeline</w:t>
      </w:r>
    </w:p>
    <w:p>
      <w:pPr>
        <w:pStyle w:val="ListParagraph"/>
        <w:numPr>
          <w:ilvl w:val="0"/>
          <w:numId w:val="1"/>
        </w:numPr>
        <w:spacing w:after="80"/>
      </w:pPr>
      <w:r>
        <w:t xml:space="preserve">Demo / forecaster-facing layer: Streamlit dashboard (built), map-based track visualization (planned)</w:t>
      </w:r>
    </w:p>
    <w:p>
      <w:pPr>
        <w:pStyle w:val="ListParagraph"/>
        <w:numPr>
          <w:ilvl w:val="0"/>
          <w:numId w:val="1"/>
        </w:numPr>
        <w:spacing w:after="80"/>
      </w:pPr>
      <w:r>
        <w:t xml:space="preserve">Deployment (planned): ONNX / TFLite export for a lightweight, edge-deployable model for coastal operations centers with unreliable connectivity</w:t>
      </w:r>
    </w:p>
    <w:p>
      <w:pPr>
        <w:pStyle w:val="Heading1"/>
        <w:spacing w:after="160" w:before="320"/>
      </w:pPr>
      <w:r>
        <w:t xml:space="preserve">7. Relevance &amp; Impact</w:t>
      </w:r>
    </w:p>
    <w:p>
      <w:pPr>
        <w:spacing w:after="160"/>
      </w:pPr>
      <w:r>
        <w:t xml:space="preserve">This directly serves IMD's own operational need — faster, more consistent, and earlier cyclone intensity assessment along India's coastline, where cyclone landfalls regularly cause loss of life and major economic damage. Earlier and more explainable warnings feed directly into NDMA and state disaster-management evacuation and preparedness decisions, which is exactly the “Disaster Management” theme this PS is filed under.</w:t>
      </w:r>
    </w:p>
    <w:p>
      <w:pPr>
        <w:pStyle w:val="Heading1"/>
        <w:spacing w:after="160" w:before="320"/>
      </w:pPr>
      <w:r>
        <w:t xml:space="preserve">8. Current Status &amp; Team Next Steps</w:t>
      </w:r>
    </w:p>
    <w:p>
      <w:pPr>
        <w:spacing w:after="160"/>
      </w:pPr>
      <w:r>
        <w:t xml:space="preserve">Full build status, real results, and an itemized to-do list are in the companion document, “MVP Progress &amp; Remaining Work.” At a glance:</w:t>
      </w:r>
    </w:p>
    <w:p>
      <w:pPr>
        <w:pStyle w:val="ListParagraph"/>
        <w:numPr>
          <w:ilvl w:val="0"/>
          <w:numId w:val="1"/>
        </w:numPr>
        <w:spacing w:after="80"/>
      </w:pPr>
      <w:r>
        <w:t xml:space="preserve">Done: Classification stage, trained and validated on real INSAT-3D imagery, with a working demo dashboard.</w:t>
      </w:r>
    </w:p>
    <w:p>
      <w:pPr>
        <w:pStyle w:val="ListParagraph"/>
        <w:numPr>
          <w:ilvl w:val="0"/>
          <w:numId w:val="1"/>
        </w:numPr>
        <w:spacing w:after="80"/>
      </w:pPr>
      <w:r>
        <w:t xml:space="preserve">Not yet started: Genesis/detection stage, prediction stage, multi-source fusion layer, MOSDAC/CyINSAT-scale data integration.</w:t>
      </w:r>
    </w:p>
    <w:p>
      <w:pPr>
        <w:pStyle w:val="ListParagraph"/>
        <w:numPr>
          <w:ilvl w:val="0"/>
          <w:numId w:val="1"/>
        </w:numPr>
        <w:spacing w:after="80"/>
      </w:pPr>
      <w:r>
        <w:t xml:space="preserve">Open team decision needed: which piece to build next, and who owns it — see companion document's task breakdown.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4E78"/>
      <w:sz w:val="30"/>
      <w:szCs w:val="30"/>
    </w:rPr>
  </w:style>
  <w:style w:type="paragraph" w:styleId="Heading2">
    <w:name w:val="Heading 2"/>
    <w:basedOn w:val="Normal"/>
    <w:next w:val="Normal"/>
    <w:qFormat/>
    <w:rPr>
      <w:b/>
      <w:bCs/>
      <w:color w:val="1F4E7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2026-09-01T15:46:08.081Z</dcterms:created>
  <dcterms:modified xsi:type="dcterms:W3CDTF">2026-09-01T15:46:08.119Z</dcterms:modified>
</cp:coreProperties>
</file>

<file path=docProps/custom.xml><?xml version="1.0" encoding="utf-8"?>
<Properties xmlns="http://schemas.openxmlformats.org/officeDocument/2006/custom-properties" xmlns:vt="http://schemas.openxmlformats.org/officeDocument/2006/docPropsVTypes"/>
</file>