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HEALTHCARE DATA VISUALIZATION PLAN</w:t>
      </w:r>
    </w:p>
    <w:p>
      <w:pPr>
        <w:spacing w:after="40"/>
      </w:pPr>
      <w:r>
        <w:rPr>
          <w:i/>
          <w:iCs/>
          <w:color w:val="0072B2"/>
          <w:sz w:val="24"/>
          <w:szCs w:val="24"/>
        </w:rPr>
        <w:t xml:space="preserve">From raw data to decision-ready dashboards and reports for non-technical stakeholders</w:t>
      </w:r>
    </w:p>
    <w:p>
      <w:pPr>
        <w:pBdr>
          <w:bottom w:val="single" w:color="0072B2" w:sz="8" w:space="6"/>
        </w:pBdr>
        <w:spacing w:after="360"/>
      </w:pPr>
      <w:r>
        <w:t xml:space="preserve"> </w:t>
      </w:r>
    </w:p>
    <w:p>
      <w:pPr>
        <w:spacing w:after="60"/>
      </w:pPr>
      <w:r>
        <w:rPr>
          <w:sz w:val="22"/>
          <w:szCs w:val="22"/>
        </w:rPr>
        <w:t xml:space="preserve">Prepared by: Ipshita Verma</w:t>
      </w:r>
    </w:p>
    <w:p>
      <w:pPr>
        <w:spacing w:after="60"/>
      </w:pPr>
      <w:r>
        <w:rPr>
          <w:sz w:val="22"/>
          <w:szCs w:val="22"/>
        </w:rPr>
        <w:t xml:space="preserve">Jaipur, Rajasthan, India</w:t>
      </w:r>
    </w:p>
    <w:p>
      <w:pPr>
        <w:spacing w:after="60"/>
      </w:pPr>
      <w:r>
        <w:rPr>
          <w:sz w:val="22"/>
          <w:szCs w:val="22"/>
        </w:rPr>
        <w:t xml:space="preserve">Date: October 24, 2026</w:t>
      </w:r>
    </w:p>
    <w:p>
      <w:pPr>
        <w:spacing w:after="400"/>
      </w:pPr>
      <w:r>
        <w:rPr>
          <w:sz w:val="22"/>
          <w:szCs w:val="22"/>
        </w:rPr>
        <w:t xml:space="preserve">GitHub: </w:t>
      </w:r>
      <w:hyperlink w:history="1" r:id="rIdddxoesymtdzdf5gju3l64">
        <w:r>
          <w:rPr>
            <w:rStyle w:val="Hyperlink"/>
            <w:color w:val="0563C1"/>
            <w:sz w:val="22"/>
            <w:szCs w:val="22"/>
            <w:u w:val="single"/>
          </w:rPr>
          <w:t xml:space="preserve">https://github.com/ipshitav71-wq/healthcare-data-visualization-plan</w:t>
        </w:r>
      </w:hyperlink>
    </w:p>
    <w:p>
      <w:pPr>
        <w:pStyle w:val="Heading1"/>
        <w:keepNext/>
        <w:pBdr>
          <w:bottom w:val="single" w:color="0072B2" w:sz="6" w:space="4"/>
        </w:pBdr>
        <w:spacing w:after="160" w:before="360"/>
      </w:pPr>
      <w:r>
        <w:rPr>
          <w:b/>
          <w:bCs/>
          <w:color w:val="1F3864"/>
          <w:sz w:val="30"/>
          <w:szCs w:val="30"/>
        </w:rPr>
        <w:t xml:space="preserve">Executive Summary</w:t>
      </w:r>
    </w:p>
    <w:p>
      <w:pPr>
        <w:spacing w:after="160" w:line="276"/>
        <w:jc w:val="left"/>
      </w:pPr>
      <w:r>
        <w:rPr>
          <w:sz w:val="22"/>
          <w:szCs w:val="22"/>
        </w:rPr>
        <w:t xml:space="preserve">Healthcare organisations collect large volumes of data, yet the people who must act on it (executives, ward managers, quality leads, public-health officers) are rarely data specialists. This plan describes how raw healthcare data would be turned into visuals that these people can read in seconds, trust, and act on. It covers the metrics worth visualising, the tools chosen and why, the step-by-step process from raw file to published dashboard, the chart types best suited to each kind of question, and annotated mock-ups of three dashboards and one printable report. Every design choice is tied to a decision it supports or a problem it helps detect. User-centred design and accessibility (colour-blind-safe colour, redundant shape cues, screen-reader support, plain-language headlines) are treated as core requirements rather than finishing touches.</w:t>
      </w:r>
    </w:p>
    <w:p>
      <w:pPr>
        <w:spacing w:after="160" w:line="276"/>
        <w:jc w:val="left"/>
      </w:pPr>
      <w:r>
        <w:rPr>
          <w:sz w:val="22"/>
          <w:szCs w:val="22"/>
        </w:rPr>
        <w:t xml:space="preserve">All charts in the mock-ups use synthetic, clearly labelled illustrative data. They demonstrate layout, chart choice and communication design; they do not represent any real hospital or population.</w:t>
      </w:r>
    </w:p>
    <w:p>
      <w:pPr>
        <w:pStyle w:val="Heading1"/>
        <w:keepNext/>
        <w:pBdr>
          <w:bottom w:val="single" w:color="0072B2" w:sz="6" w:space="4"/>
        </w:pBdr>
        <w:spacing w:after="160" w:before="360"/>
      </w:pPr>
      <w:r>
        <w:rPr>
          <w:b/>
          <w:bCs/>
          <w:color w:val="1F3864"/>
          <w:sz w:val="30"/>
          <w:szCs w:val="30"/>
        </w:rPr>
        <w:t xml:space="preserve">1. Purpose, Audiences and Design Principles</w:t>
      </w:r>
    </w:p>
    <w:p>
      <w:pPr>
        <w:pStyle w:val="Heading2"/>
        <w:keepNext/>
        <w:spacing w:after="120" w:before="280"/>
      </w:pPr>
      <w:r>
        <w:rPr>
          <w:b/>
          <w:bCs/>
          <w:color w:val="0072B2"/>
          <w:sz w:val="25"/>
          <w:szCs w:val="25"/>
        </w:rPr>
        <w:t xml:space="preserve">1.1 Purpose</w:t>
      </w:r>
    </w:p>
    <w:p>
      <w:pPr>
        <w:spacing w:after="160" w:line="276"/>
        <w:jc w:val="left"/>
      </w:pPr>
      <w:r>
        <w:rPr>
          <w:sz w:val="22"/>
          <w:szCs w:val="22"/>
        </w:rPr>
        <w:t xml:space="preserve">The goal is to shorten the distance between a data point and a decision. A good healthcare visual answers three questions quickly: what is happening, is it a problem, and what should be done next. Where a visual cannot answer one of those, it is redesigned or removed.</w:t>
      </w:r>
    </w:p>
    <w:p>
      <w:pPr>
        <w:pStyle w:val="Heading2"/>
        <w:keepNext/>
        <w:spacing w:after="120" w:before="280"/>
      </w:pPr>
      <w:r>
        <w:rPr>
          <w:b/>
          <w:bCs/>
          <w:color w:val="0072B2"/>
          <w:sz w:val="25"/>
          <w:szCs w:val="25"/>
        </w:rPr>
        <w:t xml:space="preserve">1.2 Stakeholder Personas</w:t>
      </w:r>
    </w:p>
    <w:p>
      <w:pPr>
        <w:spacing w:after="160" w:line="276"/>
        <w:jc w:val="left"/>
      </w:pPr>
      <w:r>
        <w:rPr>
          <w:sz w:val="22"/>
          <w:szCs w:val="22"/>
        </w:rPr>
        <w:t xml:space="preserve">Design starts from the people who will use the output. Four personas guide every mock-up in this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000"/>
        <w:gridCol w:w="2280"/>
      </w:tblGrid>
      <w:tr>
        <w:trPr>
          <w:cantSplit/>
          <w:tblHeader/>
        </w:trPr>
        <w:tc>
          <w:tcPr>
            <w:tcW w:type="dxa" w:w="2100"/>
            <w:shd w:fill="1F3864" w:val="clear"/>
            <w:tcMar>
              <w:top w:type="dxa" w:w="90"/>
              <w:left w:type="dxa" w:w="120"/>
              <w:bottom w:type="dxa" w:w="90"/>
              <w:right w:type="dxa" w:w="120"/>
            </w:tcMar>
            <w:vAlign w:val="center"/>
          </w:tcPr>
          <w:p>
            <w:r>
              <w:rPr>
                <w:b/>
                <w:bCs/>
                <w:color w:val="FFFFFF"/>
                <w:sz w:val="19"/>
                <w:szCs w:val="19"/>
              </w:rPr>
              <w:t xml:space="preserve">Persona</w:t>
            </w:r>
          </w:p>
        </w:tc>
        <w:tc>
          <w:tcPr>
            <w:tcW w:type="dxa" w:w="2700"/>
            <w:shd w:fill="1F3864" w:val="clear"/>
            <w:tcMar>
              <w:top w:type="dxa" w:w="90"/>
              <w:left w:type="dxa" w:w="120"/>
              <w:bottom w:type="dxa" w:w="90"/>
              <w:right w:type="dxa" w:w="120"/>
            </w:tcMar>
            <w:vAlign w:val="center"/>
          </w:tcPr>
          <w:p>
            <w:r>
              <w:rPr>
                <w:b/>
                <w:bCs/>
                <w:color w:val="FFFFFF"/>
                <w:sz w:val="19"/>
                <w:szCs w:val="19"/>
              </w:rPr>
              <w:t xml:space="preserve">Key decisions</w:t>
            </w:r>
          </w:p>
        </w:tc>
        <w:tc>
          <w:tcPr>
            <w:tcW w:type="dxa" w:w="3000"/>
            <w:shd w:fill="1F3864" w:val="clear"/>
            <w:tcMar>
              <w:top w:type="dxa" w:w="90"/>
              <w:left w:type="dxa" w:w="120"/>
              <w:bottom w:type="dxa" w:w="90"/>
              <w:right w:type="dxa" w:w="120"/>
            </w:tcMar>
            <w:vAlign w:val="center"/>
          </w:tcPr>
          <w:p>
            <w:r>
              <w:rPr>
                <w:b/>
                <w:bCs/>
                <w:color w:val="FFFFFF"/>
                <w:sz w:val="19"/>
                <w:szCs w:val="19"/>
              </w:rPr>
              <w:t xml:space="preserve">What they need from visuals</w:t>
            </w:r>
          </w:p>
        </w:tc>
        <w:tc>
          <w:tcPr>
            <w:tcW w:type="dxa" w:w="2280"/>
            <w:shd w:fill="1F3864" w:val="clear"/>
            <w:tcMar>
              <w:top w:type="dxa" w:w="90"/>
              <w:left w:type="dxa" w:w="120"/>
              <w:bottom w:type="dxa" w:w="90"/>
              <w:right w:type="dxa" w:w="120"/>
            </w:tcMar>
            <w:vAlign w:val="center"/>
          </w:tcPr>
          <w:p>
            <w:r>
              <w:rPr>
                <w:b/>
                <w:bCs/>
                <w:color w:val="FFFFFF"/>
                <w:sz w:val="19"/>
                <w:szCs w:val="19"/>
              </w:rPr>
              <w:t xml:space="preserve">Preferred format</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Hospital executive (e.g., chief operating officer)</w:t>
            </w:r>
          </w:p>
        </w:tc>
        <w:tc>
          <w:tcPr>
            <w:tcW w:type="dxa" w:w="2700"/>
            <w:tcMar>
              <w:top w:type="dxa" w:w="90"/>
              <w:left w:type="dxa" w:w="120"/>
              <w:bottom w:type="dxa" w:w="90"/>
              <w:right w:type="dxa" w:w="120"/>
            </w:tcMar>
            <w:vAlign w:val="center"/>
          </w:tcPr>
          <w:p>
            <w:r>
              <w:rPr>
                <w:b w:val="false"/>
                <w:bCs w:val="false"/>
                <w:color w:val="000000"/>
                <w:sz w:val="19"/>
                <w:szCs w:val="19"/>
              </w:rPr>
              <w:t xml:space="preserve">Where to allocate staff, beds and budget; which problems to escalate</w:t>
            </w:r>
          </w:p>
        </w:tc>
        <w:tc>
          <w:tcPr>
            <w:tcW w:type="dxa" w:w="3000"/>
            <w:tcMar>
              <w:top w:type="dxa" w:w="90"/>
              <w:left w:type="dxa" w:w="120"/>
              <w:bottom w:type="dxa" w:w="90"/>
              <w:right w:type="dxa" w:w="120"/>
            </w:tcMar>
            <w:vAlign w:val="center"/>
          </w:tcPr>
          <w:p>
            <w:r>
              <w:rPr>
                <w:b w:val="false"/>
                <w:bCs w:val="false"/>
                <w:color w:val="000000"/>
                <w:sz w:val="19"/>
                <w:szCs w:val="19"/>
              </w:rPr>
              <w:t xml:space="preserve">A one-screen overview, clear status against targets, trends over months, no jargon</w:t>
            </w:r>
          </w:p>
        </w:tc>
        <w:tc>
          <w:tcPr>
            <w:tcW w:type="dxa" w:w="2280"/>
            <w:tcMar>
              <w:top w:type="dxa" w:w="90"/>
              <w:left w:type="dxa" w:w="120"/>
              <w:bottom w:type="dxa" w:w="90"/>
              <w:right w:type="dxa" w:w="120"/>
            </w:tcMar>
            <w:vAlign w:val="center"/>
          </w:tcPr>
          <w:p>
            <w:r>
              <w:rPr>
                <w:b w:val="false"/>
                <w:bCs w:val="false"/>
                <w:color w:val="000000"/>
                <w:sz w:val="19"/>
                <w:szCs w:val="19"/>
              </w:rPr>
              <w:t xml:space="preserve">Dashboard on laptop or tablet; monthly PDF briefing</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Ward or nurse manager</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Daily staffing, discharge planning, bed management</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Current-week detail by ward and shift, easy comparison to benchmark</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Dashboard on desktop; printed daily huddle sheet</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Quality and patient-safety lead</w:t>
            </w:r>
          </w:p>
        </w:tc>
        <w:tc>
          <w:tcPr>
            <w:tcW w:type="dxa" w:w="2700"/>
            <w:tcMar>
              <w:top w:type="dxa" w:w="90"/>
              <w:left w:type="dxa" w:w="120"/>
              <w:bottom w:type="dxa" w:w="90"/>
              <w:right w:type="dxa" w:w="120"/>
            </w:tcMar>
            <w:vAlign w:val="center"/>
          </w:tcPr>
          <w:p>
            <w:r>
              <w:rPr>
                <w:b w:val="false"/>
                <w:bCs w:val="false"/>
                <w:color w:val="000000"/>
                <w:sz w:val="19"/>
                <w:szCs w:val="19"/>
              </w:rPr>
              <w:t xml:space="preserve">Whether a change is real or random; which care steps fail</w:t>
            </w:r>
          </w:p>
        </w:tc>
        <w:tc>
          <w:tcPr>
            <w:tcW w:type="dxa" w:w="3000"/>
            <w:tcMar>
              <w:top w:type="dxa" w:w="90"/>
              <w:left w:type="dxa" w:w="120"/>
              <w:bottom w:type="dxa" w:w="90"/>
              <w:right w:type="dxa" w:w="120"/>
            </w:tcMar>
            <w:vAlign w:val="center"/>
          </w:tcPr>
          <w:p>
            <w:r>
              <w:rPr>
                <w:b w:val="false"/>
                <w:bCs w:val="false"/>
                <w:color w:val="000000"/>
                <w:sz w:val="19"/>
                <w:szCs w:val="19"/>
              </w:rPr>
              <w:t xml:space="preserve">Statistical signals (control charts), process drop-off views, drill-down to detail</w:t>
            </w:r>
          </w:p>
        </w:tc>
        <w:tc>
          <w:tcPr>
            <w:tcW w:type="dxa" w:w="2280"/>
            <w:tcMar>
              <w:top w:type="dxa" w:w="90"/>
              <w:left w:type="dxa" w:w="120"/>
              <w:bottom w:type="dxa" w:w="90"/>
              <w:right w:type="dxa" w:w="120"/>
            </w:tcMar>
            <w:vAlign w:val="center"/>
          </w:tcPr>
          <w:p>
            <w:r>
              <w:rPr>
                <w:b w:val="false"/>
                <w:bCs w:val="false"/>
                <w:color w:val="000000"/>
                <w:sz w:val="19"/>
                <w:szCs w:val="19"/>
              </w:rPr>
              <w:t xml:space="preserve">Interactive dashboard with exportable tables</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Public-health officer or policy maker</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Where to target campaigns and resources; which groups are left behind</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Geographic and demographic comparison, change over time, uncertainty shown honestly</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Dashboard plus report with plain-language summary</w:t>
            </w:r>
          </w:p>
        </w:tc>
      </w:tr>
    </w:tbl>
    <w:p>
      <w:pPr>
        <w:spacing w:after="120"/>
      </w:pPr>
    </w:p>
    <w:p>
      <w:pPr>
        <w:pStyle w:val="Heading2"/>
        <w:keepNext/>
        <w:spacing w:after="120" w:before="280"/>
      </w:pPr>
      <w:r>
        <w:rPr>
          <w:b/>
          <w:bCs/>
          <w:color w:val="0072B2"/>
          <w:sz w:val="25"/>
          <w:szCs w:val="25"/>
        </w:rPr>
        <w:t xml:space="preserve">1.3 Design Principles</w:t>
      </w:r>
    </w:p>
    <w:p>
      <w:pPr>
        <w:pStyle w:val="ListParagraph"/>
        <w:numPr>
          <w:ilvl w:val="0"/>
          <w:numId w:val="2"/>
        </w:numPr>
        <w:spacing w:after="90" w:line="276"/>
      </w:pPr>
      <w:r>
        <w:rPr>
          <w:sz w:val="22"/>
          <w:szCs w:val="22"/>
        </w:rPr>
        <w:t xml:space="preserve">Answer first: every chart title states the finding (for example, “Readmissions have risen for three months in a row”), not just the topic.</w:t>
      </w:r>
    </w:p>
    <w:p>
      <w:pPr>
        <w:pStyle w:val="ListParagraph"/>
        <w:numPr>
          <w:ilvl w:val="0"/>
          <w:numId w:val="2"/>
        </w:numPr>
        <w:spacing w:after="90" w:line="276"/>
      </w:pPr>
      <w:r>
        <w:rPr>
          <w:sz w:val="22"/>
          <w:szCs w:val="22"/>
        </w:rPr>
        <w:t xml:space="preserve">Overview first, then zoom and filter, then details on demand (Shneiderman, 1996). Executives see the summary; analysts can drill down.</w:t>
      </w:r>
    </w:p>
    <w:p>
      <w:pPr>
        <w:pStyle w:val="ListParagraph"/>
        <w:numPr>
          <w:ilvl w:val="0"/>
          <w:numId w:val="2"/>
        </w:numPr>
        <w:spacing w:after="90" w:line="276"/>
      </w:pPr>
      <w:r>
        <w:rPr>
          <w:sz w:val="22"/>
          <w:szCs w:val="22"/>
        </w:rPr>
        <w:t xml:space="preserve">Show comparison: a number without a target, benchmark or prior period has no meaning to a non-specialist.</w:t>
      </w:r>
    </w:p>
    <w:p>
      <w:pPr>
        <w:pStyle w:val="ListParagraph"/>
        <w:numPr>
          <w:ilvl w:val="0"/>
          <w:numId w:val="2"/>
        </w:numPr>
        <w:spacing w:after="90" w:line="276"/>
      </w:pPr>
      <w:r>
        <w:rPr>
          <w:sz w:val="22"/>
          <w:szCs w:val="22"/>
        </w:rPr>
        <w:t xml:space="preserve">Reduce clutter: remove 3-D effects, heavy gridlines and decoration so that attention goes to the data (Tufte, 2001; Few, 2013).</w:t>
      </w:r>
    </w:p>
    <w:p>
      <w:pPr>
        <w:pStyle w:val="ListParagraph"/>
        <w:numPr>
          <w:ilvl w:val="0"/>
          <w:numId w:val="2"/>
        </w:numPr>
        <w:spacing w:after="90" w:line="276"/>
      </w:pPr>
      <w:r>
        <w:rPr>
          <w:sz w:val="22"/>
          <w:szCs w:val="22"/>
        </w:rPr>
        <w:t xml:space="preserve">Be honest: bar charts start at zero, uncertainty is displayed, small counts are suppressed, and data currency is always stamped on the page.</w:t>
      </w:r>
    </w:p>
    <w:p>
      <w:pPr>
        <w:pStyle w:val="ListParagraph"/>
        <w:numPr>
          <w:ilvl w:val="0"/>
          <w:numId w:val="2"/>
        </w:numPr>
        <w:spacing w:after="90" w:line="276"/>
      </w:pPr>
      <w:r>
        <w:rPr>
          <w:sz w:val="22"/>
          <w:szCs w:val="22"/>
        </w:rPr>
        <w:t xml:space="preserve">Be inclusive: design for colour-vision deficiency, screen readers, small screens and low statistical literacy from the first sketch.</w:t>
      </w:r>
    </w:p>
    <w:p>
      <w:pPr>
        <w:pStyle w:val="Heading1"/>
        <w:keepNext/>
        <w:pBdr>
          <w:bottom w:val="single" w:color="0072B2" w:sz="6" w:space="4"/>
        </w:pBdr>
        <w:spacing w:after="160" w:before="360"/>
      </w:pPr>
      <w:r>
        <w:rPr>
          <w:b/>
          <w:bCs/>
          <w:color w:val="1F3864"/>
          <w:sz w:val="30"/>
          <w:szCs w:val="30"/>
        </w:rPr>
        <w:t xml:space="preserve">2. Key Healthcare Metrics to Visualise</w:t>
      </w:r>
    </w:p>
    <w:p>
      <w:pPr>
        <w:spacing w:after="160" w:line="276"/>
        <w:jc w:val="left"/>
      </w:pPr>
      <w:r>
        <w:rPr>
          <w:sz w:val="22"/>
          <w:szCs w:val="22"/>
        </w:rPr>
        <w:t xml:space="preserve">Metrics were selected by working backwards from decisions: a metric is included only if someone can name an action they would take if it moved. They are grouped into operations, clinical quality and population health, and each is paired with a visual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700"/>
        <w:gridCol w:w="2280"/>
      </w:tblGrid>
      <w:tr>
        <w:trPr>
          <w:cantSplit/>
          <w:tblHeader/>
        </w:trPr>
        <w:tc>
          <w:tcPr>
            <w:tcW w:type="dxa" w:w="2100"/>
            <w:shd w:fill="1F3864" w:val="clear"/>
            <w:tcMar>
              <w:top w:type="dxa" w:w="90"/>
              <w:left w:type="dxa" w:w="120"/>
              <w:bottom w:type="dxa" w:w="90"/>
              <w:right w:type="dxa" w:w="120"/>
            </w:tcMar>
            <w:vAlign w:val="center"/>
          </w:tcPr>
          <w:p>
            <w:r>
              <w:rPr>
                <w:b/>
                <w:bCs/>
                <w:color w:val="FFFFFF"/>
                <w:sz w:val="19"/>
                <w:szCs w:val="19"/>
              </w:rPr>
              <w:t xml:space="preserve">Metric</w:t>
            </w:r>
          </w:p>
        </w:tc>
        <w:tc>
          <w:tcPr>
            <w:tcW w:type="dxa" w:w="3000"/>
            <w:shd w:fill="1F3864" w:val="clear"/>
            <w:tcMar>
              <w:top w:type="dxa" w:w="90"/>
              <w:left w:type="dxa" w:w="120"/>
              <w:bottom w:type="dxa" w:w="90"/>
              <w:right w:type="dxa" w:w="120"/>
            </w:tcMar>
            <w:vAlign w:val="center"/>
          </w:tcPr>
          <w:p>
            <w:r>
              <w:rPr>
                <w:b/>
                <w:bCs/>
                <w:color w:val="FFFFFF"/>
                <w:sz w:val="19"/>
                <w:szCs w:val="19"/>
              </w:rPr>
              <w:t xml:space="preserve">Definition (short)</w:t>
            </w:r>
          </w:p>
        </w:tc>
        <w:tc>
          <w:tcPr>
            <w:tcW w:type="dxa" w:w="2700"/>
            <w:shd w:fill="1F3864" w:val="clear"/>
            <w:tcMar>
              <w:top w:type="dxa" w:w="90"/>
              <w:left w:type="dxa" w:w="120"/>
              <w:bottom w:type="dxa" w:w="90"/>
              <w:right w:type="dxa" w:w="120"/>
            </w:tcMar>
            <w:vAlign w:val="center"/>
          </w:tcPr>
          <w:p>
            <w:r>
              <w:rPr>
                <w:b/>
                <w:bCs/>
                <w:color w:val="FFFFFF"/>
                <w:sz w:val="19"/>
                <w:szCs w:val="19"/>
              </w:rPr>
              <w:t xml:space="preserve">Decision it supports</w:t>
            </w:r>
          </w:p>
        </w:tc>
        <w:tc>
          <w:tcPr>
            <w:tcW w:type="dxa" w:w="2280"/>
            <w:shd w:fill="1F3864" w:val="clear"/>
            <w:tcMar>
              <w:top w:type="dxa" w:w="90"/>
              <w:left w:type="dxa" w:w="120"/>
              <w:bottom w:type="dxa" w:w="90"/>
              <w:right w:type="dxa" w:w="120"/>
            </w:tcMar>
            <w:vAlign w:val="center"/>
          </w:tcPr>
          <w:p>
            <w:r>
              <w:rPr>
                <w:b/>
                <w:bCs/>
                <w:color w:val="FFFFFF"/>
                <w:sz w:val="19"/>
                <w:szCs w:val="19"/>
              </w:rPr>
              <w:t xml:space="preserve">Visual form</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30-day readmission rate</w:t>
            </w:r>
          </w:p>
        </w:tc>
        <w:tc>
          <w:tcPr>
            <w:tcW w:type="dxa" w:w="3000"/>
            <w:tcMar>
              <w:top w:type="dxa" w:w="90"/>
              <w:left w:type="dxa" w:w="120"/>
              <w:bottom w:type="dxa" w:w="90"/>
              <w:right w:type="dxa" w:w="120"/>
            </w:tcMar>
            <w:vAlign w:val="center"/>
          </w:tcPr>
          <w:p>
            <w:r>
              <w:rPr>
                <w:b w:val="false"/>
                <w:bCs w:val="false"/>
                <w:color w:val="000000"/>
                <w:sz w:val="19"/>
                <w:szCs w:val="19"/>
              </w:rPr>
              <w:t xml:space="preserve">Share of discharges followed by an unplanned return within 30 days</w:t>
            </w:r>
          </w:p>
        </w:tc>
        <w:tc>
          <w:tcPr>
            <w:tcW w:type="dxa" w:w="2700"/>
            <w:tcMar>
              <w:top w:type="dxa" w:w="90"/>
              <w:left w:type="dxa" w:w="120"/>
              <w:bottom w:type="dxa" w:w="90"/>
              <w:right w:type="dxa" w:w="120"/>
            </w:tcMar>
            <w:vAlign w:val="center"/>
          </w:tcPr>
          <w:p>
            <w:r>
              <w:rPr>
                <w:b w:val="false"/>
                <w:bCs w:val="false"/>
                <w:color w:val="000000"/>
                <w:sz w:val="19"/>
                <w:szCs w:val="19"/>
              </w:rPr>
              <w:t xml:space="preserve">Review of discharge planning and follow-up care</w:t>
            </w:r>
          </w:p>
        </w:tc>
        <w:tc>
          <w:tcPr>
            <w:tcW w:type="dxa" w:w="2280"/>
            <w:tcMar>
              <w:top w:type="dxa" w:w="90"/>
              <w:left w:type="dxa" w:w="120"/>
              <w:bottom w:type="dxa" w:w="90"/>
              <w:right w:type="dxa" w:w="120"/>
            </w:tcMar>
            <w:vAlign w:val="center"/>
          </w:tcPr>
          <w:p>
            <w:r>
              <w:rPr>
                <w:b w:val="false"/>
                <w:bCs w:val="false"/>
                <w:color w:val="000000"/>
                <w:sz w:val="19"/>
                <w:szCs w:val="19"/>
              </w:rPr>
              <w:t xml:space="preserve">Line chart with target line and annotation</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Average length of stay (LOS)</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Mean days from admission to discharge, by department</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Bed capacity, discharge efficiency</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Ranked bar of difference from benchmark</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ED median wait time</w:t>
            </w:r>
          </w:p>
        </w:tc>
        <w:tc>
          <w:tcPr>
            <w:tcW w:type="dxa" w:w="3000"/>
            <w:tcMar>
              <w:top w:type="dxa" w:w="90"/>
              <w:left w:type="dxa" w:w="120"/>
              <w:bottom w:type="dxa" w:w="90"/>
              <w:right w:type="dxa" w:w="120"/>
            </w:tcMar>
            <w:vAlign w:val="center"/>
          </w:tcPr>
          <w:p>
            <w:r>
              <w:rPr>
                <w:b w:val="false"/>
                <w:bCs w:val="false"/>
                <w:color w:val="000000"/>
                <w:sz w:val="19"/>
                <w:szCs w:val="19"/>
              </w:rPr>
              <w:t xml:space="preserve">Median minutes from arrival to first clinician contact, by hour</w:t>
            </w:r>
          </w:p>
        </w:tc>
        <w:tc>
          <w:tcPr>
            <w:tcW w:type="dxa" w:w="2700"/>
            <w:tcMar>
              <w:top w:type="dxa" w:w="90"/>
              <w:left w:type="dxa" w:w="120"/>
              <w:bottom w:type="dxa" w:w="90"/>
              <w:right w:type="dxa" w:w="120"/>
            </w:tcMar>
            <w:vAlign w:val="center"/>
          </w:tcPr>
          <w:p>
            <w:r>
              <w:rPr>
                <w:b w:val="false"/>
                <w:bCs w:val="false"/>
                <w:color w:val="000000"/>
                <w:sz w:val="19"/>
                <w:szCs w:val="19"/>
              </w:rPr>
              <w:t xml:space="preserve">Staffing patterns by time of day</w:t>
            </w:r>
          </w:p>
        </w:tc>
        <w:tc>
          <w:tcPr>
            <w:tcW w:type="dxa" w:w="2280"/>
            <w:tcMar>
              <w:top w:type="dxa" w:w="90"/>
              <w:left w:type="dxa" w:w="120"/>
              <w:bottom w:type="dxa" w:w="90"/>
              <w:right w:type="dxa" w:w="120"/>
            </w:tcMar>
            <w:vAlign w:val="center"/>
          </w:tcPr>
          <w:p>
            <w:r>
              <w:rPr>
                <w:b w:val="false"/>
                <w:bCs w:val="false"/>
                <w:color w:val="000000"/>
                <w:sz w:val="19"/>
                <w:szCs w:val="19"/>
              </w:rPr>
              <w:t xml:space="preserve">Column chart by hour with limit line</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Bed occupancy</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Occupied beds divided by staffed beds, by ward and day</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Surge planning, step-down capacity</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Heat map (ward by weekday)</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Hospital-acquired infection rate</w:t>
            </w:r>
          </w:p>
        </w:tc>
        <w:tc>
          <w:tcPr>
            <w:tcW w:type="dxa" w:w="3000"/>
            <w:tcMar>
              <w:top w:type="dxa" w:w="90"/>
              <w:left w:type="dxa" w:w="120"/>
              <w:bottom w:type="dxa" w:w="90"/>
              <w:right w:type="dxa" w:w="120"/>
            </w:tcMar>
            <w:vAlign w:val="center"/>
          </w:tcPr>
          <w:p>
            <w:r>
              <w:rPr>
                <w:b w:val="false"/>
                <w:bCs w:val="false"/>
                <w:color w:val="000000"/>
                <w:sz w:val="19"/>
                <w:szCs w:val="19"/>
              </w:rPr>
              <w:t xml:space="preserve">Infections per 1,000 patient-days</w:t>
            </w:r>
          </w:p>
        </w:tc>
        <w:tc>
          <w:tcPr>
            <w:tcW w:type="dxa" w:w="2700"/>
            <w:tcMar>
              <w:top w:type="dxa" w:w="90"/>
              <w:left w:type="dxa" w:w="120"/>
              <w:bottom w:type="dxa" w:w="90"/>
              <w:right w:type="dxa" w:w="120"/>
            </w:tcMar>
            <w:vAlign w:val="center"/>
          </w:tcPr>
          <w:p>
            <w:r>
              <w:rPr>
                <w:b w:val="false"/>
                <w:bCs w:val="false"/>
                <w:color w:val="000000"/>
                <w:sz w:val="19"/>
                <w:szCs w:val="19"/>
              </w:rPr>
              <w:t xml:space="preserve">Infection-control interventions</w:t>
            </w:r>
          </w:p>
        </w:tc>
        <w:tc>
          <w:tcPr>
            <w:tcW w:type="dxa" w:w="2280"/>
            <w:tcMar>
              <w:top w:type="dxa" w:w="90"/>
              <w:left w:type="dxa" w:w="120"/>
              <w:bottom w:type="dxa" w:w="90"/>
              <w:right w:type="dxa" w:w="120"/>
            </w:tcMar>
            <w:vAlign w:val="center"/>
          </w:tcPr>
          <w:p>
            <w:r>
              <w:rPr>
                <w:b w:val="false"/>
                <w:bCs w:val="false"/>
                <w:color w:val="000000"/>
                <w:sz w:val="19"/>
                <w:szCs w:val="19"/>
              </w:rPr>
              <w:t xml:space="preserve">Control chart (SPC) with limits</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Care-bundle compliance (e.g., sepsis)</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Percentage completing each required step on time</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Which step of a pathway fails</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Funnel or step-down bar chart</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Safety events</w:t>
            </w:r>
          </w:p>
        </w:tc>
        <w:tc>
          <w:tcPr>
            <w:tcW w:type="dxa" w:w="3000"/>
            <w:tcMar>
              <w:top w:type="dxa" w:w="90"/>
              <w:left w:type="dxa" w:w="120"/>
              <w:bottom w:type="dxa" w:w="90"/>
              <w:right w:type="dxa" w:w="120"/>
            </w:tcMar>
            <w:vAlign w:val="center"/>
          </w:tcPr>
          <w:p>
            <w:r>
              <w:rPr>
                <w:b w:val="false"/>
                <w:bCs w:val="false"/>
                <w:color w:val="000000"/>
                <w:sz w:val="19"/>
                <w:szCs w:val="19"/>
              </w:rPr>
              <w:t xml:space="preserve">Falls with harm, pressure injuries, medication errors per 1,000 bed-days</w:t>
            </w:r>
          </w:p>
        </w:tc>
        <w:tc>
          <w:tcPr>
            <w:tcW w:type="dxa" w:w="2700"/>
            <w:tcMar>
              <w:top w:type="dxa" w:w="90"/>
              <w:left w:type="dxa" w:w="120"/>
              <w:bottom w:type="dxa" w:w="90"/>
              <w:right w:type="dxa" w:w="120"/>
            </w:tcMar>
            <w:vAlign w:val="center"/>
          </w:tcPr>
          <w:p>
            <w:r>
              <w:rPr>
                <w:b w:val="false"/>
                <w:bCs w:val="false"/>
                <w:color w:val="000000"/>
                <w:sz w:val="19"/>
                <w:szCs w:val="19"/>
              </w:rPr>
              <w:t xml:space="preserve">Targeted safety programmes</w:t>
            </w:r>
          </w:p>
        </w:tc>
        <w:tc>
          <w:tcPr>
            <w:tcW w:type="dxa" w:w="2280"/>
            <w:tcMar>
              <w:top w:type="dxa" w:w="90"/>
              <w:left w:type="dxa" w:w="120"/>
              <w:bottom w:type="dxa" w:w="90"/>
              <w:right w:type="dxa" w:w="120"/>
            </w:tcMar>
            <w:vAlign w:val="center"/>
          </w:tcPr>
          <w:p>
            <w:r>
              <w:rPr>
                <w:b w:val="false"/>
                <w:bCs w:val="false"/>
                <w:color w:val="000000"/>
                <w:sz w:val="19"/>
                <w:szCs w:val="19"/>
              </w:rPr>
              <w:t xml:space="preserve">Status table with target and symbols</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Patient experience score</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Share of patients rating care positively (survey-based)</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Service improvement priorities</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Diverging bar by survey domain</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Appointment no-show rate</w:t>
            </w:r>
          </w:p>
        </w:tc>
        <w:tc>
          <w:tcPr>
            <w:tcW w:type="dxa" w:w="3000"/>
            <w:tcMar>
              <w:top w:type="dxa" w:w="90"/>
              <w:left w:type="dxa" w:w="120"/>
              <w:bottom w:type="dxa" w:w="90"/>
              <w:right w:type="dxa" w:w="120"/>
            </w:tcMar>
            <w:vAlign w:val="center"/>
          </w:tcPr>
          <w:p>
            <w:r>
              <w:rPr>
                <w:b w:val="false"/>
                <w:bCs w:val="false"/>
                <w:color w:val="000000"/>
                <w:sz w:val="19"/>
                <w:szCs w:val="19"/>
              </w:rPr>
              <w:t xml:space="preserve">Missed appointments divided by booked, by clinic and day</w:t>
            </w:r>
          </w:p>
        </w:tc>
        <w:tc>
          <w:tcPr>
            <w:tcW w:type="dxa" w:w="2700"/>
            <w:tcMar>
              <w:top w:type="dxa" w:w="90"/>
              <w:left w:type="dxa" w:w="120"/>
              <w:bottom w:type="dxa" w:w="90"/>
              <w:right w:type="dxa" w:w="120"/>
            </w:tcMar>
            <w:vAlign w:val="center"/>
          </w:tcPr>
          <w:p>
            <w:r>
              <w:rPr>
                <w:b w:val="false"/>
                <w:bCs w:val="false"/>
                <w:color w:val="000000"/>
                <w:sz w:val="19"/>
                <w:szCs w:val="19"/>
              </w:rPr>
              <w:t xml:space="preserve">Reminder and overbooking strategy</w:t>
            </w:r>
          </w:p>
        </w:tc>
        <w:tc>
          <w:tcPr>
            <w:tcW w:type="dxa" w:w="2280"/>
            <w:tcMar>
              <w:top w:type="dxa" w:w="90"/>
              <w:left w:type="dxa" w:w="120"/>
              <w:bottom w:type="dxa" w:w="90"/>
              <w:right w:type="dxa" w:w="120"/>
            </w:tcMar>
            <w:vAlign w:val="center"/>
          </w:tcPr>
          <w:p>
            <w:r>
              <w:rPr>
                <w:b w:val="false"/>
                <w:bCs w:val="false"/>
                <w:color w:val="000000"/>
                <w:sz w:val="19"/>
                <w:szCs w:val="19"/>
              </w:rPr>
              <w:t xml:space="preserve">Small multiples by clinic</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Vaccination coverage</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Percent of eligible population vaccinated, by region and group</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Targeting of campaigns</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Tile map, dot plot, line with confidence band</w:t>
            </w:r>
          </w:p>
        </w:tc>
      </w:tr>
      <w:tr>
        <w:trPr>
          <w:cantSplit/>
        </w:trPr>
        <w:tc>
          <w:tcPr>
            <w:tcW w:type="dxa" w:w="2100"/>
            <w:tcMar>
              <w:top w:type="dxa" w:w="90"/>
              <w:left w:type="dxa" w:w="120"/>
              <w:bottom w:type="dxa" w:w="90"/>
              <w:right w:type="dxa" w:w="120"/>
            </w:tcMar>
            <w:vAlign w:val="center"/>
          </w:tcPr>
          <w:p>
            <w:r>
              <w:rPr>
                <w:b/>
                <w:bCs/>
                <w:color w:val="000000"/>
                <w:sz w:val="19"/>
                <w:szCs w:val="19"/>
              </w:rPr>
              <w:t xml:space="preserve">Disease incidence</w:t>
            </w:r>
          </w:p>
        </w:tc>
        <w:tc>
          <w:tcPr>
            <w:tcW w:type="dxa" w:w="3000"/>
            <w:tcMar>
              <w:top w:type="dxa" w:w="90"/>
              <w:left w:type="dxa" w:w="120"/>
              <w:bottom w:type="dxa" w:w="90"/>
              <w:right w:type="dxa" w:w="120"/>
            </w:tcMar>
            <w:vAlign w:val="center"/>
          </w:tcPr>
          <w:p>
            <w:r>
              <w:rPr>
                <w:b w:val="false"/>
                <w:bCs w:val="false"/>
                <w:color w:val="000000"/>
                <w:sz w:val="19"/>
                <w:szCs w:val="19"/>
              </w:rPr>
              <w:t xml:space="preserve">New cases per 100,000 population, by age group and period</w:t>
            </w:r>
          </w:p>
        </w:tc>
        <w:tc>
          <w:tcPr>
            <w:tcW w:type="dxa" w:w="2700"/>
            <w:tcMar>
              <w:top w:type="dxa" w:w="90"/>
              <w:left w:type="dxa" w:w="120"/>
              <w:bottom w:type="dxa" w:w="90"/>
              <w:right w:type="dxa" w:w="120"/>
            </w:tcMar>
            <w:vAlign w:val="center"/>
          </w:tcPr>
          <w:p>
            <w:r>
              <w:rPr>
                <w:b w:val="false"/>
                <w:bCs w:val="false"/>
                <w:color w:val="000000"/>
                <w:sz w:val="19"/>
                <w:szCs w:val="19"/>
              </w:rPr>
              <w:t xml:space="preserve">Outbreak detection, resource planning</w:t>
            </w:r>
          </w:p>
        </w:tc>
        <w:tc>
          <w:tcPr>
            <w:tcW w:type="dxa" w:w="2280"/>
            <w:tcMar>
              <w:top w:type="dxa" w:w="90"/>
              <w:left w:type="dxa" w:w="120"/>
              <w:bottom w:type="dxa" w:w="90"/>
              <w:right w:type="dxa" w:w="120"/>
            </w:tcMar>
            <w:vAlign w:val="center"/>
          </w:tcPr>
          <w:p>
            <w:r>
              <w:rPr>
                <w:b w:val="false"/>
                <w:bCs w:val="false"/>
                <w:color w:val="000000"/>
                <w:sz w:val="19"/>
                <w:szCs w:val="19"/>
              </w:rPr>
              <w:t xml:space="preserve">Line chart, small multiples by age group</w:t>
            </w:r>
          </w:p>
        </w:tc>
      </w:tr>
      <w:tr>
        <w:trPr>
          <w:cantSplit/>
        </w:trPr>
        <w:tc>
          <w:tcPr>
            <w:tcW w:type="dxa" w:w="2100"/>
            <w:shd w:fill="EEF4FA" w:val="clear"/>
            <w:tcMar>
              <w:top w:type="dxa" w:w="90"/>
              <w:left w:type="dxa" w:w="120"/>
              <w:bottom w:type="dxa" w:w="90"/>
              <w:right w:type="dxa" w:w="120"/>
            </w:tcMar>
            <w:vAlign w:val="center"/>
          </w:tcPr>
          <w:p>
            <w:r>
              <w:rPr>
                <w:b/>
                <w:bCs/>
                <w:color w:val="000000"/>
                <w:sz w:val="19"/>
                <w:szCs w:val="19"/>
              </w:rPr>
              <w:t xml:space="preserve">Data completeness</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Percentage of expected fields populated, by source</w:t>
            </w:r>
          </w:p>
        </w:tc>
        <w:tc>
          <w:tcPr>
            <w:tcW w:type="dxa" w:w="2700"/>
            <w:shd w:fill="EEF4FA" w:val="clear"/>
            <w:tcMar>
              <w:top w:type="dxa" w:w="90"/>
              <w:left w:type="dxa" w:w="120"/>
              <w:bottom w:type="dxa" w:w="90"/>
              <w:right w:type="dxa" w:w="120"/>
            </w:tcMar>
            <w:vAlign w:val="center"/>
          </w:tcPr>
          <w:p>
            <w:r>
              <w:rPr>
                <w:b w:val="false"/>
                <w:bCs w:val="false"/>
                <w:color w:val="000000"/>
                <w:sz w:val="19"/>
                <w:szCs w:val="19"/>
              </w:rPr>
              <w:t xml:space="preserve">Whether the data can be trusted</w:t>
            </w:r>
          </w:p>
        </w:tc>
        <w:tc>
          <w:tcPr>
            <w:tcW w:type="dxa" w:w="2280"/>
            <w:shd w:fill="EEF4FA" w:val="clear"/>
            <w:tcMar>
              <w:top w:type="dxa" w:w="90"/>
              <w:left w:type="dxa" w:w="120"/>
              <w:bottom w:type="dxa" w:w="90"/>
              <w:right w:type="dxa" w:w="120"/>
            </w:tcMar>
            <w:vAlign w:val="center"/>
          </w:tcPr>
          <w:p>
            <w:r>
              <w:rPr>
                <w:b w:val="false"/>
                <w:bCs w:val="false"/>
                <w:color w:val="000000"/>
                <w:sz w:val="19"/>
                <w:szCs w:val="19"/>
              </w:rPr>
              <w:t xml:space="preserve">Small status indicator on every page</w:t>
            </w:r>
          </w:p>
        </w:tc>
      </w:tr>
    </w:tbl>
    <w:p>
      <w:pPr>
        <w:spacing w:after="120"/>
      </w:pPr>
    </w:p>
    <w:p>
      <w:pPr>
        <w:spacing w:after="160" w:line="276"/>
        <w:jc w:val="left"/>
      </w:pPr>
      <w:r>
        <w:rPr>
          <w:sz w:val="22"/>
          <w:szCs w:val="22"/>
        </w:rPr>
        <w:t xml:space="preserve">The last row is deliberate. Showing data completeness and refresh date beside the results builds trust and prevents decisions based on stale or partial data, a recurring problem in routinely collected health data (Weiskopf &amp; Weng, 2013).</w:t>
      </w:r>
    </w:p>
    <w:p>
      <w:pPr>
        <w:pStyle w:val="Heading1"/>
        <w:keepNext/>
        <w:pBdr>
          <w:bottom w:val="single" w:color="0072B2" w:sz="6" w:space="4"/>
        </w:pBdr>
        <w:spacing w:after="160" w:before="360"/>
      </w:pPr>
      <w:r>
        <w:rPr>
          <w:b/>
          <w:bCs/>
          <w:color w:val="1F3864"/>
          <w:sz w:val="30"/>
          <w:szCs w:val="30"/>
        </w:rPr>
        <w:t xml:space="preserve">3. Tool Selection and Justification</w:t>
      </w:r>
    </w:p>
    <w:p>
      <w:pPr>
        <w:pStyle w:val="Heading2"/>
        <w:keepNext/>
        <w:spacing w:after="120" w:before="280"/>
      </w:pPr>
      <w:r>
        <w:rPr>
          <w:b/>
          <w:bCs/>
          <w:color w:val="0072B2"/>
          <w:sz w:val="25"/>
          <w:szCs w:val="25"/>
        </w:rPr>
        <w:t xml:space="preserve">3.1 Selection Criteria</w:t>
      </w:r>
    </w:p>
    <w:p>
      <w:pPr>
        <w:pStyle w:val="ListParagraph"/>
        <w:numPr>
          <w:ilvl w:val="0"/>
          <w:numId w:val="2"/>
        </w:numPr>
        <w:spacing w:after="90" w:line="276"/>
      </w:pPr>
      <w:r>
        <w:rPr>
          <w:sz w:val="22"/>
          <w:szCs w:val="22"/>
        </w:rPr>
        <w:t xml:space="preserve">Accessibility features: alt text, keyboard tab order, high-contrast themes, screen-reader support.</w:t>
      </w:r>
    </w:p>
    <w:p>
      <w:pPr>
        <w:pStyle w:val="ListParagraph"/>
        <w:numPr>
          <w:ilvl w:val="0"/>
          <w:numId w:val="2"/>
        </w:numPr>
        <w:spacing w:after="90" w:line="276"/>
      </w:pPr>
      <w:r>
        <w:rPr>
          <w:sz w:val="22"/>
          <w:szCs w:val="22"/>
        </w:rPr>
        <w:t xml:space="preserve">Security: row-level access control and suitability for sensitive health data.</w:t>
      </w:r>
    </w:p>
    <w:p>
      <w:pPr>
        <w:pStyle w:val="ListParagraph"/>
        <w:numPr>
          <w:ilvl w:val="0"/>
          <w:numId w:val="2"/>
        </w:numPr>
        <w:spacing w:after="90" w:line="276"/>
      </w:pPr>
      <w:r>
        <w:rPr>
          <w:sz w:val="22"/>
          <w:szCs w:val="22"/>
        </w:rPr>
        <w:t xml:space="preserve">Connectivity: works with CSV/Excel, SQL databases and public APIs.</w:t>
      </w:r>
    </w:p>
    <w:p>
      <w:pPr>
        <w:pStyle w:val="ListParagraph"/>
        <w:numPr>
          <w:ilvl w:val="0"/>
          <w:numId w:val="2"/>
        </w:numPr>
        <w:spacing w:after="90" w:line="276"/>
      </w:pPr>
      <w:r>
        <w:rPr>
          <w:sz w:val="22"/>
          <w:szCs w:val="22"/>
        </w:rPr>
        <w:t xml:space="preserve">Cost and learning curve: usable by a small team or individual analyst without paid infrastructure.</w:t>
      </w:r>
    </w:p>
    <w:p>
      <w:pPr>
        <w:pStyle w:val="ListParagraph"/>
        <w:numPr>
          <w:ilvl w:val="0"/>
          <w:numId w:val="2"/>
        </w:numPr>
        <w:spacing w:after="90" w:line="276"/>
      </w:pPr>
      <w:r>
        <w:rPr>
          <w:sz w:val="22"/>
          <w:szCs w:val="22"/>
        </w:rPr>
        <w:t xml:space="preserve">Statistical capability: supports charts such as control charts and confidence intervals, or can be extended to.</w:t>
      </w:r>
    </w:p>
    <w:p>
      <w:pPr>
        <w:pStyle w:val="ListParagraph"/>
        <w:numPr>
          <w:ilvl w:val="0"/>
          <w:numId w:val="2"/>
        </w:numPr>
        <w:spacing w:after="90" w:line="276"/>
      </w:pPr>
      <w:r>
        <w:rPr>
          <w:sz w:val="22"/>
          <w:szCs w:val="22"/>
        </w:rPr>
        <w:t xml:space="preserve">Sharing: stakeholders can view results without installing software.</w:t>
      </w:r>
    </w:p>
    <w:p>
      <w:pPr>
        <w:pStyle w:val="Heading2"/>
        <w:keepNext/>
        <w:spacing w:after="120" w:before="280"/>
      </w:pPr>
      <w:r>
        <w:rPr>
          <w:b/>
          <w:bCs/>
          <w:color w:val="0072B2"/>
          <w:sz w:val="25"/>
          <w:szCs w:val="25"/>
        </w:rPr>
        <w:t xml:space="preserve">3.2 Tool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000"/>
        <w:gridCol w:w="1980"/>
      </w:tblGrid>
      <w:tr>
        <w:trPr>
          <w:cantSplit/>
          <w:tblHeader/>
        </w:trPr>
        <w:tc>
          <w:tcPr>
            <w:tcW w:type="dxa" w:w="1800"/>
            <w:shd w:fill="1F3864" w:val="clear"/>
            <w:tcMar>
              <w:top w:type="dxa" w:w="90"/>
              <w:left w:type="dxa" w:w="120"/>
              <w:bottom w:type="dxa" w:w="90"/>
              <w:right w:type="dxa" w:w="120"/>
            </w:tcMar>
            <w:vAlign w:val="center"/>
          </w:tcPr>
          <w:p>
            <w:r>
              <w:rPr>
                <w:b/>
                <w:bCs/>
                <w:color w:val="FFFFFF"/>
                <w:sz w:val="19"/>
                <w:szCs w:val="19"/>
              </w:rPr>
              <w:t xml:space="preserve">Tool</w:t>
            </w:r>
          </w:p>
        </w:tc>
        <w:tc>
          <w:tcPr>
            <w:tcW w:type="dxa" w:w="3300"/>
            <w:shd w:fill="1F3864" w:val="clear"/>
            <w:tcMar>
              <w:top w:type="dxa" w:w="90"/>
              <w:left w:type="dxa" w:w="120"/>
              <w:bottom w:type="dxa" w:w="90"/>
              <w:right w:type="dxa" w:w="120"/>
            </w:tcMar>
            <w:vAlign w:val="center"/>
          </w:tcPr>
          <w:p>
            <w:r>
              <w:rPr>
                <w:b/>
                <w:bCs/>
                <w:color w:val="FFFFFF"/>
                <w:sz w:val="19"/>
                <w:szCs w:val="19"/>
              </w:rPr>
              <w:t xml:space="preserve">Strengths</w:t>
            </w:r>
          </w:p>
        </w:tc>
        <w:tc>
          <w:tcPr>
            <w:tcW w:type="dxa" w:w="3000"/>
            <w:shd w:fill="1F3864" w:val="clear"/>
            <w:tcMar>
              <w:top w:type="dxa" w:w="90"/>
              <w:left w:type="dxa" w:w="120"/>
              <w:bottom w:type="dxa" w:w="90"/>
              <w:right w:type="dxa" w:w="120"/>
            </w:tcMar>
            <w:vAlign w:val="center"/>
          </w:tcPr>
          <w:p>
            <w:r>
              <w:rPr>
                <w:b/>
                <w:bCs/>
                <w:color w:val="FFFFFF"/>
                <w:sz w:val="19"/>
                <w:szCs w:val="19"/>
              </w:rPr>
              <w:t xml:space="preserve">Limitations</w:t>
            </w:r>
          </w:p>
        </w:tc>
        <w:tc>
          <w:tcPr>
            <w:tcW w:type="dxa" w:w="1980"/>
            <w:shd w:fill="1F3864" w:val="clear"/>
            <w:tcMar>
              <w:top w:type="dxa" w:w="90"/>
              <w:left w:type="dxa" w:w="120"/>
              <w:bottom w:type="dxa" w:w="90"/>
              <w:right w:type="dxa" w:w="120"/>
            </w:tcMar>
            <w:vAlign w:val="center"/>
          </w:tcPr>
          <w:p>
            <w:r>
              <w:rPr>
                <w:b/>
                <w:bCs/>
                <w:color w:val="FFFFFF"/>
                <w:sz w:val="19"/>
                <w:szCs w:val="19"/>
              </w:rPr>
              <w:t xml:space="preserve">Role in this plan</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Microsoft Power BI</w:t>
            </w:r>
          </w:p>
        </w:tc>
        <w:tc>
          <w:tcPr>
            <w:tcW w:type="dxa" w:w="3300"/>
            <w:tcMar>
              <w:top w:type="dxa" w:w="90"/>
              <w:left w:type="dxa" w:w="120"/>
              <w:bottom w:type="dxa" w:w="90"/>
              <w:right w:type="dxa" w:w="120"/>
            </w:tcMar>
            <w:vAlign w:val="center"/>
          </w:tcPr>
          <w:p>
            <w:r>
              <w:rPr>
                <w:b w:val="false"/>
                <w:bCs w:val="false"/>
                <w:color w:val="000000"/>
                <w:sz w:val="19"/>
                <w:szCs w:val="19"/>
              </w:rPr>
              <w:t xml:space="preserve">Free desktop authoring; strong data modelling and DAX measures; row-level security; built-in alt text, tab order and high-contrast support; wide connector library</w:t>
            </w:r>
          </w:p>
        </w:tc>
        <w:tc>
          <w:tcPr>
            <w:tcW w:type="dxa" w:w="3000"/>
            <w:tcMar>
              <w:top w:type="dxa" w:w="90"/>
              <w:left w:type="dxa" w:w="120"/>
              <w:bottom w:type="dxa" w:w="90"/>
              <w:right w:type="dxa" w:w="120"/>
            </w:tcMar>
            <w:vAlign w:val="center"/>
          </w:tcPr>
          <w:p>
            <w:r>
              <w:rPr>
                <w:b w:val="false"/>
                <w:bCs w:val="false"/>
                <w:color w:val="000000"/>
                <w:sz w:val="19"/>
                <w:szCs w:val="19"/>
              </w:rPr>
              <w:t xml:space="preserve">Control charts and confidence bands need custom visuals or extra modelling; sharing in the service needs a licence</w:t>
            </w:r>
          </w:p>
        </w:tc>
        <w:tc>
          <w:tcPr>
            <w:tcW w:type="dxa" w:w="1980"/>
            <w:tcMar>
              <w:top w:type="dxa" w:w="90"/>
              <w:left w:type="dxa" w:w="120"/>
              <w:bottom w:type="dxa" w:w="90"/>
              <w:right w:type="dxa" w:w="120"/>
            </w:tcMar>
            <w:vAlign w:val="center"/>
          </w:tcPr>
          <w:p>
            <w:r>
              <w:rPr>
                <w:b w:val="false"/>
                <w:bCs w:val="false"/>
                <w:color w:val="000000"/>
                <w:sz w:val="19"/>
                <w:szCs w:val="19"/>
              </w:rPr>
              <w:t xml:space="preserve">Primary dashboard tool</w:t>
            </w:r>
          </w:p>
        </w:tc>
      </w:tr>
      <w:tr>
        <w:trPr>
          <w:cantSplit/>
        </w:trPr>
        <w:tc>
          <w:tcPr>
            <w:tcW w:type="dxa" w:w="1800"/>
            <w:shd w:fill="EEF4FA" w:val="clear"/>
            <w:tcMar>
              <w:top w:type="dxa" w:w="90"/>
              <w:left w:type="dxa" w:w="120"/>
              <w:bottom w:type="dxa" w:w="90"/>
              <w:right w:type="dxa" w:w="120"/>
            </w:tcMar>
            <w:vAlign w:val="center"/>
          </w:tcPr>
          <w:p>
            <w:r>
              <w:rPr>
                <w:b/>
                <w:bCs/>
                <w:color w:val="000000"/>
                <w:sz w:val="19"/>
                <w:szCs w:val="19"/>
              </w:rPr>
              <w:t xml:space="preserve">Python (pandas, matplotlib, Plotly)</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Full control over cleaning and statistical charts (control charts, funnel plots, uncertainty bands); reproducible scripts</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Less convenient for non-technical consumers; needs hosting to be interactive</w:t>
            </w:r>
          </w:p>
        </w:tc>
        <w:tc>
          <w:tcPr>
            <w:tcW w:type="dxa" w:w="1980"/>
            <w:shd w:fill="EEF4FA" w:val="clear"/>
            <w:tcMar>
              <w:top w:type="dxa" w:w="90"/>
              <w:left w:type="dxa" w:w="120"/>
              <w:bottom w:type="dxa" w:w="90"/>
              <w:right w:type="dxa" w:w="120"/>
            </w:tcMar>
            <w:vAlign w:val="center"/>
          </w:tcPr>
          <w:p>
            <w:r>
              <w:rPr>
                <w:b w:val="false"/>
                <w:bCs w:val="false"/>
                <w:color w:val="000000"/>
                <w:sz w:val="19"/>
                <w:szCs w:val="19"/>
              </w:rPr>
              <w:t xml:space="preserve">Data preparation, statistical visuals, static report figures, wireframe generation</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PostgreSQL</w:t>
            </w:r>
          </w:p>
        </w:tc>
        <w:tc>
          <w:tcPr>
            <w:tcW w:type="dxa" w:w="3300"/>
            <w:tcMar>
              <w:top w:type="dxa" w:w="90"/>
              <w:left w:type="dxa" w:w="120"/>
              <w:bottom w:type="dxa" w:w="90"/>
              <w:right w:type="dxa" w:w="120"/>
            </w:tcMar>
            <w:vAlign w:val="center"/>
          </w:tcPr>
          <w:p>
            <w:r>
              <w:rPr>
                <w:b w:val="false"/>
                <w:bCs w:val="false"/>
                <w:color w:val="000000"/>
                <w:sz w:val="19"/>
                <w:szCs w:val="19"/>
              </w:rPr>
              <w:t xml:space="preserve">Reliable, open source; enforces constraints; handles joins across large tables</w:t>
            </w:r>
          </w:p>
        </w:tc>
        <w:tc>
          <w:tcPr>
            <w:tcW w:type="dxa" w:w="3000"/>
            <w:tcMar>
              <w:top w:type="dxa" w:w="90"/>
              <w:left w:type="dxa" w:w="120"/>
              <w:bottom w:type="dxa" w:w="90"/>
              <w:right w:type="dxa" w:w="120"/>
            </w:tcMar>
            <w:vAlign w:val="center"/>
          </w:tcPr>
          <w:p>
            <w:r>
              <w:rPr>
                <w:b w:val="false"/>
                <w:bCs w:val="false"/>
                <w:color w:val="000000"/>
                <w:sz w:val="19"/>
                <w:szCs w:val="19"/>
              </w:rPr>
              <w:t xml:space="preserve">Not a visual tool</w:t>
            </w:r>
          </w:p>
        </w:tc>
        <w:tc>
          <w:tcPr>
            <w:tcW w:type="dxa" w:w="1980"/>
            <w:tcMar>
              <w:top w:type="dxa" w:w="90"/>
              <w:left w:type="dxa" w:w="120"/>
              <w:bottom w:type="dxa" w:w="90"/>
              <w:right w:type="dxa" w:w="120"/>
            </w:tcMar>
            <w:vAlign w:val="center"/>
          </w:tcPr>
          <w:p>
            <w:r>
              <w:rPr>
                <w:b w:val="false"/>
                <w:bCs w:val="false"/>
                <w:color w:val="000000"/>
                <w:sz w:val="19"/>
                <w:szCs w:val="19"/>
              </w:rPr>
              <w:t xml:space="preserve">Storage and modelling layer feeding the dashboards</w:t>
            </w:r>
          </w:p>
        </w:tc>
      </w:tr>
      <w:tr>
        <w:trPr>
          <w:cantSplit/>
        </w:trPr>
        <w:tc>
          <w:tcPr>
            <w:tcW w:type="dxa" w:w="1800"/>
            <w:shd w:fill="EEF4FA" w:val="clear"/>
            <w:tcMar>
              <w:top w:type="dxa" w:w="90"/>
              <w:left w:type="dxa" w:w="120"/>
              <w:bottom w:type="dxa" w:w="90"/>
              <w:right w:type="dxa" w:w="120"/>
            </w:tcMar>
            <w:vAlign w:val="center"/>
          </w:tcPr>
          <w:p>
            <w:r>
              <w:rPr>
                <w:b/>
                <w:bCs/>
                <w:color w:val="000000"/>
                <w:sz w:val="19"/>
                <w:szCs w:val="19"/>
              </w:rPr>
              <w:t xml:space="preserve">Tableau</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Excellent exploratory visuals and polish; large community</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Cost; the free public version publishes data openly, so it is unsuitable for patient-level data</w:t>
            </w:r>
          </w:p>
        </w:tc>
        <w:tc>
          <w:tcPr>
            <w:tcW w:type="dxa" w:w="1980"/>
            <w:shd w:fill="EEF4FA" w:val="clear"/>
            <w:tcMar>
              <w:top w:type="dxa" w:w="90"/>
              <w:left w:type="dxa" w:w="120"/>
              <w:bottom w:type="dxa" w:w="90"/>
              <w:right w:type="dxa" w:w="120"/>
            </w:tcMar>
            <w:vAlign w:val="center"/>
          </w:tcPr>
          <w:p>
            <w:r>
              <w:rPr>
                <w:b w:val="false"/>
                <w:bCs w:val="false"/>
                <w:color w:val="000000"/>
                <w:sz w:val="19"/>
                <w:szCs w:val="19"/>
              </w:rPr>
              <w:t xml:space="preserve">Considered alternative</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Excel</w:t>
            </w:r>
          </w:p>
        </w:tc>
        <w:tc>
          <w:tcPr>
            <w:tcW w:type="dxa" w:w="3300"/>
            <w:tcMar>
              <w:top w:type="dxa" w:w="90"/>
              <w:left w:type="dxa" w:w="120"/>
              <w:bottom w:type="dxa" w:w="90"/>
              <w:right w:type="dxa" w:w="120"/>
            </w:tcMar>
            <w:vAlign w:val="center"/>
          </w:tcPr>
          <w:p>
            <w:r>
              <w:rPr>
                <w:b w:val="false"/>
                <w:bCs w:val="false"/>
                <w:color w:val="000000"/>
                <w:sz w:val="19"/>
                <w:szCs w:val="19"/>
              </w:rPr>
              <w:t xml:space="preserve">Universal familiarity; fast for ad hoc checks</w:t>
            </w:r>
          </w:p>
        </w:tc>
        <w:tc>
          <w:tcPr>
            <w:tcW w:type="dxa" w:w="3000"/>
            <w:tcMar>
              <w:top w:type="dxa" w:w="90"/>
              <w:left w:type="dxa" w:w="120"/>
              <w:bottom w:type="dxa" w:w="90"/>
              <w:right w:type="dxa" w:w="120"/>
            </w:tcMar>
            <w:vAlign w:val="center"/>
          </w:tcPr>
          <w:p>
            <w:r>
              <w:rPr>
                <w:b w:val="false"/>
                <w:bCs w:val="false"/>
                <w:color w:val="000000"/>
                <w:sz w:val="19"/>
                <w:szCs w:val="19"/>
              </w:rPr>
              <w:t xml:space="preserve">Weak governance, manual refresh, limited accessibility control</w:t>
            </w:r>
          </w:p>
        </w:tc>
        <w:tc>
          <w:tcPr>
            <w:tcW w:type="dxa" w:w="1980"/>
            <w:tcMar>
              <w:top w:type="dxa" w:w="90"/>
              <w:left w:type="dxa" w:w="120"/>
              <w:bottom w:type="dxa" w:w="90"/>
              <w:right w:type="dxa" w:w="120"/>
            </w:tcMar>
            <w:vAlign w:val="center"/>
          </w:tcPr>
          <w:p>
            <w:r>
              <w:rPr>
                <w:b w:val="false"/>
                <w:bCs w:val="false"/>
                <w:color w:val="000000"/>
                <w:sz w:val="19"/>
                <w:szCs w:val="19"/>
              </w:rPr>
              <w:t xml:space="preserve">Quick validation only</w:t>
            </w:r>
          </w:p>
        </w:tc>
      </w:tr>
      <w:tr>
        <w:trPr>
          <w:cantSplit/>
        </w:trPr>
        <w:tc>
          <w:tcPr>
            <w:tcW w:type="dxa" w:w="1800"/>
            <w:shd w:fill="EEF4FA" w:val="clear"/>
            <w:tcMar>
              <w:top w:type="dxa" w:w="90"/>
              <w:left w:type="dxa" w:w="120"/>
              <w:bottom w:type="dxa" w:w="90"/>
              <w:right w:type="dxa" w:w="120"/>
            </w:tcMar>
            <w:vAlign w:val="center"/>
          </w:tcPr>
          <w:p>
            <w:r>
              <w:rPr>
                <w:b/>
                <w:bCs/>
                <w:color w:val="000000"/>
                <w:sz w:val="19"/>
                <w:szCs w:val="19"/>
              </w:rPr>
              <w:t xml:space="preserve">Looker Studio</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Free, web-based, simple sharing</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Limited modelling and accessibility controls</w:t>
            </w:r>
          </w:p>
        </w:tc>
        <w:tc>
          <w:tcPr>
            <w:tcW w:type="dxa" w:w="1980"/>
            <w:shd w:fill="EEF4FA" w:val="clear"/>
            <w:tcMar>
              <w:top w:type="dxa" w:w="90"/>
              <w:left w:type="dxa" w:w="120"/>
              <w:bottom w:type="dxa" w:w="90"/>
              <w:right w:type="dxa" w:w="120"/>
            </w:tcMar>
            <w:vAlign w:val="center"/>
          </w:tcPr>
          <w:p>
            <w:r>
              <w:rPr>
                <w:b w:val="false"/>
                <w:bCs w:val="false"/>
                <w:color w:val="000000"/>
                <w:sz w:val="19"/>
                <w:szCs w:val="19"/>
              </w:rPr>
              <w:t xml:space="preserve">Not selected</w:t>
            </w:r>
          </w:p>
        </w:tc>
      </w:tr>
    </w:tbl>
    <w:p>
      <w:pPr>
        <w:spacing w:after="120"/>
      </w:pPr>
    </w:p>
    <w:p>
      <w:pPr>
        <w:pStyle w:val="Heading2"/>
        <w:keepNext/>
        <w:spacing w:after="120" w:before="280"/>
      </w:pPr>
      <w:r>
        <w:rPr>
          <w:b/>
          <w:bCs/>
          <w:color w:val="0072B2"/>
          <w:sz w:val="25"/>
          <w:szCs w:val="25"/>
        </w:rPr>
        <w:t xml:space="preserve">3.3 Justification</w:t>
      </w:r>
    </w:p>
    <w:p>
      <w:pPr>
        <w:spacing w:after="160" w:line="276"/>
        <w:jc w:val="left"/>
      </w:pPr>
      <w:r>
        <w:rPr>
          <w:sz w:val="22"/>
          <w:szCs w:val="22"/>
        </w:rPr>
        <w:t xml:space="preserve">Power BI is chosen as the main dashboard environment because it combines a free authoring tool, a proper semantic model (so that a metric such as readmission rate is defined once and reused everywhere), row-level security for sensitive data, and the most complete set of built-in accessibility controls among the tools compared. Python complements it where business-intelligence tools are weak: statistical process control charts, funnel plots and confidence bands are straightforward to script and are the visuals that quality leads rely on to separate real change from noise (Benneyan, Lloyd &amp; Plsek, 2003). PostgreSQL provides a governed, queryable store between raw files and visuals. The same stack is also realistic for a small team and for portfolio work with public datasets, which keeps the plan feasible and replicable.</w:t>
      </w:r>
    </w:p>
    <w:p>
      <w:pPr>
        <w:pStyle w:val="Heading1"/>
        <w:keepNext/>
        <w:pBdr>
          <w:bottom w:val="single" w:color="0072B2" w:sz="6" w:space="4"/>
        </w:pBdr>
        <w:spacing w:after="160" w:before="360"/>
      </w:pPr>
      <w:r>
        <w:rPr>
          <w:b/>
          <w:bCs/>
          <w:color w:val="1F3864"/>
          <w:sz w:val="30"/>
          <w:szCs w:val="30"/>
        </w:rPr>
        <w:t xml:space="preserve">4. Process: Converting Raw Data into Visual Formats</w:t>
      </w:r>
    </w:p>
    <w:p>
      <w:pPr>
        <w:keepNext/>
        <w:spacing w:after="80" w:before="120"/>
        <w:jc w:val="center"/>
      </w:pPr>
      <w:r>
        <w:drawing>
          <wp:inline distT="0" distB="0" distL="0" distR="0">
            <wp:extent cx="6286500" cy="2352675"/>
            <wp:effectExtent t="0" r="0" b="0" l="0"/>
            <wp:docPr id="1" name="fig1_pipeline.png" descr="Flow diagram of six stages: acquire, validate, clean and transform, model, design, and test and publish, with a feedback loop from users and data-quality alerts back to earlier stages." title="Figure 1. End-to-end workflow from raw data to published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352675"/>
                    </a:xfrm>
                    <a:prstGeom prst="rect">
                      <a:avLst/>
                    </a:prstGeom>
                  </pic:spPr>
                </pic:pic>
              </a:graphicData>
            </a:graphic>
          </wp:inline>
        </w:drawing>
      </w:r>
    </w:p>
    <w:p>
      <w:pPr>
        <w:spacing w:after="200"/>
        <w:jc w:val="center"/>
      </w:pPr>
      <w:r>
        <w:rPr>
          <w:i/>
          <w:iCs/>
          <w:color w:val="595959"/>
          <w:sz w:val="19"/>
          <w:szCs w:val="19"/>
        </w:rPr>
        <w:t xml:space="preserve">Figure 1. End-to-end workflow from raw data to published visuals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300"/>
        <w:gridCol w:w="2480"/>
      </w:tblGrid>
      <w:tr>
        <w:trPr>
          <w:cantSplit/>
          <w:tblHeader/>
        </w:trPr>
        <w:tc>
          <w:tcPr>
            <w:tcW w:type="dxa" w:w="1500"/>
            <w:shd w:fill="1F3864" w:val="clear"/>
            <w:tcMar>
              <w:top w:type="dxa" w:w="90"/>
              <w:left w:type="dxa" w:w="120"/>
              <w:bottom w:type="dxa" w:w="90"/>
              <w:right w:type="dxa" w:w="120"/>
            </w:tcMar>
            <w:vAlign w:val="center"/>
          </w:tcPr>
          <w:p>
            <w:r>
              <w:rPr>
                <w:b/>
                <w:bCs/>
                <w:color w:val="FFFFFF"/>
                <w:sz w:val="19"/>
                <w:szCs w:val="19"/>
              </w:rPr>
              <w:t xml:space="preserve">Stage</w:t>
            </w:r>
          </w:p>
        </w:tc>
        <w:tc>
          <w:tcPr>
            <w:tcW w:type="dxa" w:w="3800"/>
            <w:shd w:fill="1F3864" w:val="clear"/>
            <w:tcMar>
              <w:top w:type="dxa" w:w="90"/>
              <w:left w:type="dxa" w:w="120"/>
              <w:bottom w:type="dxa" w:w="90"/>
              <w:right w:type="dxa" w:w="120"/>
            </w:tcMar>
            <w:vAlign w:val="center"/>
          </w:tcPr>
          <w:p>
            <w:r>
              <w:rPr>
                <w:b/>
                <w:bCs/>
                <w:color w:val="FFFFFF"/>
                <w:sz w:val="19"/>
                <w:szCs w:val="19"/>
              </w:rPr>
              <w:t xml:space="preserve">Activities</w:t>
            </w:r>
          </w:p>
        </w:tc>
        <w:tc>
          <w:tcPr>
            <w:tcW w:type="dxa" w:w="2300"/>
            <w:shd w:fill="1F3864" w:val="clear"/>
            <w:tcMar>
              <w:top w:type="dxa" w:w="90"/>
              <w:left w:type="dxa" w:w="120"/>
              <w:bottom w:type="dxa" w:w="90"/>
              <w:right w:type="dxa" w:w="120"/>
            </w:tcMar>
            <w:vAlign w:val="center"/>
          </w:tcPr>
          <w:p>
            <w:r>
              <w:rPr>
                <w:b/>
                <w:bCs/>
                <w:color w:val="FFFFFF"/>
                <w:sz w:val="19"/>
                <w:szCs w:val="19"/>
              </w:rPr>
              <w:t xml:space="preserve">Tools</w:t>
            </w:r>
          </w:p>
        </w:tc>
        <w:tc>
          <w:tcPr>
            <w:tcW w:type="dxa" w:w="2480"/>
            <w:shd w:fill="1F3864" w:val="clear"/>
            <w:tcMar>
              <w:top w:type="dxa" w:w="90"/>
              <w:left w:type="dxa" w:w="120"/>
              <w:bottom w:type="dxa" w:w="90"/>
              <w:right w:type="dxa" w:w="120"/>
            </w:tcMar>
            <w:vAlign w:val="center"/>
          </w:tcPr>
          <w:p>
            <w:r>
              <w:rPr>
                <w:b/>
                <w:bCs/>
                <w:color w:val="FFFFFF"/>
                <w:sz w:val="19"/>
                <w:szCs w:val="19"/>
              </w:rPr>
              <w:t xml:space="preserve">Quality gate before moving on</w:t>
            </w:r>
          </w:p>
        </w:tc>
      </w:tr>
      <w:tr>
        <w:trPr>
          <w:cantSplit/>
        </w:trPr>
        <w:tc>
          <w:tcPr>
            <w:tcW w:type="dxa" w:w="1500"/>
            <w:tcMar>
              <w:top w:type="dxa" w:w="90"/>
              <w:left w:type="dxa" w:w="120"/>
              <w:bottom w:type="dxa" w:w="90"/>
              <w:right w:type="dxa" w:w="120"/>
            </w:tcMar>
            <w:vAlign w:val="center"/>
          </w:tcPr>
          <w:p>
            <w:r>
              <w:rPr>
                <w:b/>
                <w:bCs/>
                <w:color w:val="000000"/>
                <w:sz w:val="19"/>
                <w:szCs w:val="19"/>
              </w:rPr>
              <w:t xml:space="preserve">1. Acquire</w:t>
            </w:r>
          </w:p>
        </w:tc>
        <w:tc>
          <w:tcPr>
            <w:tcW w:type="dxa" w:w="3800"/>
            <w:tcMar>
              <w:top w:type="dxa" w:w="90"/>
              <w:left w:type="dxa" w:w="120"/>
              <w:bottom w:type="dxa" w:w="90"/>
              <w:right w:type="dxa" w:w="120"/>
            </w:tcMar>
            <w:vAlign w:val="center"/>
          </w:tcPr>
          <w:p>
            <w:r>
              <w:rPr>
                <w:b w:val="false"/>
                <w:bCs w:val="false"/>
                <w:color w:val="000000"/>
                <w:sz w:val="19"/>
                <w:szCs w:val="19"/>
              </w:rPr>
              <w:t xml:space="preserve">Pull data from public portals (e.g., national health statistics, hospital quality datasets) or internal extracts; log source, version and date</w:t>
            </w:r>
          </w:p>
        </w:tc>
        <w:tc>
          <w:tcPr>
            <w:tcW w:type="dxa" w:w="2300"/>
            <w:tcMar>
              <w:top w:type="dxa" w:w="90"/>
              <w:left w:type="dxa" w:w="120"/>
              <w:bottom w:type="dxa" w:w="90"/>
              <w:right w:type="dxa" w:w="120"/>
            </w:tcMar>
            <w:vAlign w:val="center"/>
          </w:tcPr>
          <w:p>
            <w:r>
              <w:rPr>
                <w:b w:val="false"/>
                <w:bCs w:val="false"/>
                <w:color w:val="000000"/>
                <w:sz w:val="19"/>
                <w:szCs w:val="19"/>
              </w:rPr>
              <w:t xml:space="preserve">Python requests/pandas, SQL extracts</w:t>
            </w:r>
          </w:p>
        </w:tc>
        <w:tc>
          <w:tcPr>
            <w:tcW w:type="dxa" w:w="2480"/>
            <w:tcMar>
              <w:top w:type="dxa" w:w="90"/>
              <w:left w:type="dxa" w:w="120"/>
              <w:bottom w:type="dxa" w:w="90"/>
              <w:right w:type="dxa" w:w="120"/>
            </w:tcMar>
            <w:vAlign w:val="center"/>
          </w:tcPr>
          <w:p>
            <w:r>
              <w:rPr>
                <w:b w:val="false"/>
                <w:bCs w:val="false"/>
                <w:color w:val="000000"/>
                <w:sz w:val="19"/>
                <w:szCs w:val="19"/>
              </w:rPr>
              <w:t xml:space="preserve">Source, licence and refresh date recorded</w:t>
            </w:r>
          </w:p>
        </w:tc>
      </w:tr>
      <w:tr>
        <w:trPr>
          <w:cantSplit/>
        </w:trPr>
        <w:tc>
          <w:tcPr>
            <w:tcW w:type="dxa" w:w="1500"/>
            <w:shd w:fill="EEF4FA" w:val="clear"/>
            <w:tcMar>
              <w:top w:type="dxa" w:w="90"/>
              <w:left w:type="dxa" w:w="120"/>
              <w:bottom w:type="dxa" w:w="90"/>
              <w:right w:type="dxa" w:w="120"/>
            </w:tcMar>
            <w:vAlign w:val="center"/>
          </w:tcPr>
          <w:p>
            <w:r>
              <w:rPr>
                <w:b/>
                <w:bCs/>
                <w:color w:val="000000"/>
                <w:sz w:val="19"/>
                <w:szCs w:val="19"/>
              </w:rPr>
              <w:t xml:space="preserve">2. Validate</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Check schema, data types, ranges (e.g., age 0-120), cross-field logic (discharge not before admission), duplicate keys</w:t>
            </w:r>
          </w:p>
        </w:tc>
        <w:tc>
          <w:tcPr>
            <w:tcW w:type="dxa" w:w="2300"/>
            <w:shd w:fill="EEF4FA" w:val="clear"/>
            <w:tcMar>
              <w:top w:type="dxa" w:w="90"/>
              <w:left w:type="dxa" w:w="120"/>
              <w:bottom w:type="dxa" w:w="90"/>
              <w:right w:type="dxa" w:w="120"/>
            </w:tcMar>
            <w:vAlign w:val="center"/>
          </w:tcPr>
          <w:p>
            <w:r>
              <w:rPr>
                <w:b w:val="false"/>
                <w:bCs w:val="false"/>
                <w:color w:val="000000"/>
                <w:sz w:val="19"/>
                <w:szCs w:val="19"/>
              </w:rPr>
              <w:t xml:space="preserve">pandas, Great Expectations or pandera</w:t>
            </w:r>
          </w:p>
        </w:tc>
        <w:tc>
          <w:tcPr>
            <w:tcW w:type="dxa" w:w="2480"/>
            <w:shd w:fill="EEF4FA" w:val="clear"/>
            <w:tcMar>
              <w:top w:type="dxa" w:w="90"/>
              <w:left w:type="dxa" w:w="120"/>
              <w:bottom w:type="dxa" w:w="90"/>
              <w:right w:type="dxa" w:w="120"/>
            </w:tcMar>
            <w:vAlign w:val="center"/>
          </w:tcPr>
          <w:p>
            <w:r>
              <w:rPr>
                <w:b w:val="false"/>
                <w:bCs w:val="false"/>
                <w:color w:val="000000"/>
                <w:sz w:val="19"/>
                <w:szCs w:val="19"/>
              </w:rPr>
              <w:t xml:space="preserve">All critical rules pass or exceptions are documented</w:t>
            </w:r>
          </w:p>
        </w:tc>
      </w:tr>
      <w:tr>
        <w:trPr>
          <w:cantSplit/>
        </w:trPr>
        <w:tc>
          <w:tcPr>
            <w:tcW w:type="dxa" w:w="1500"/>
            <w:tcMar>
              <w:top w:type="dxa" w:w="90"/>
              <w:left w:type="dxa" w:w="120"/>
              <w:bottom w:type="dxa" w:w="90"/>
              <w:right w:type="dxa" w:w="120"/>
            </w:tcMar>
            <w:vAlign w:val="center"/>
          </w:tcPr>
          <w:p>
            <w:r>
              <w:rPr>
                <w:b/>
                <w:bCs/>
                <w:color w:val="000000"/>
                <w:sz w:val="19"/>
                <w:szCs w:val="19"/>
              </w:rPr>
              <w:t xml:space="preserve">3. Clean and transform</w:t>
            </w:r>
          </w:p>
        </w:tc>
        <w:tc>
          <w:tcPr>
            <w:tcW w:type="dxa" w:w="3800"/>
            <w:tcMar>
              <w:top w:type="dxa" w:w="90"/>
              <w:left w:type="dxa" w:w="120"/>
              <w:bottom w:type="dxa" w:w="90"/>
              <w:right w:type="dxa" w:w="120"/>
            </w:tcMar>
            <w:vAlign w:val="center"/>
          </w:tcPr>
          <w:p>
            <w:r>
              <w:rPr>
                <w:b w:val="false"/>
                <w:bCs w:val="false"/>
                <w:color w:val="000000"/>
                <w:sz w:val="19"/>
                <w:szCs w:val="19"/>
              </w:rPr>
              <w:t xml:space="preserve">Standardise units and codes, handle missing values by documented rule, derive fields (length of stay, age group, 30-day return flag)</w:t>
            </w:r>
          </w:p>
        </w:tc>
        <w:tc>
          <w:tcPr>
            <w:tcW w:type="dxa" w:w="2300"/>
            <w:tcMar>
              <w:top w:type="dxa" w:w="90"/>
              <w:left w:type="dxa" w:w="120"/>
              <w:bottom w:type="dxa" w:w="90"/>
              <w:right w:type="dxa" w:w="120"/>
            </w:tcMar>
            <w:vAlign w:val="center"/>
          </w:tcPr>
          <w:p>
            <w:r>
              <w:rPr>
                <w:b w:val="false"/>
                <w:bCs w:val="false"/>
                <w:color w:val="000000"/>
                <w:sz w:val="19"/>
                <w:szCs w:val="19"/>
              </w:rPr>
              <w:t xml:space="preserve">Python, SQL</w:t>
            </w:r>
          </w:p>
        </w:tc>
        <w:tc>
          <w:tcPr>
            <w:tcW w:type="dxa" w:w="2480"/>
            <w:tcMar>
              <w:top w:type="dxa" w:w="90"/>
              <w:left w:type="dxa" w:w="120"/>
              <w:bottom w:type="dxa" w:w="90"/>
              <w:right w:type="dxa" w:w="120"/>
            </w:tcMar>
            <w:vAlign w:val="center"/>
          </w:tcPr>
          <w:p>
            <w:r>
              <w:rPr>
                <w:b w:val="false"/>
                <w:bCs w:val="false"/>
                <w:color w:val="000000"/>
                <w:sz w:val="19"/>
                <w:szCs w:val="19"/>
              </w:rPr>
              <w:t xml:space="preserve">Row counts reconcile with raw data; cleaning log saved</w:t>
            </w:r>
          </w:p>
        </w:tc>
      </w:tr>
      <w:tr>
        <w:trPr>
          <w:cantSplit/>
        </w:trPr>
        <w:tc>
          <w:tcPr>
            <w:tcW w:type="dxa" w:w="1500"/>
            <w:shd w:fill="EEF4FA" w:val="clear"/>
            <w:tcMar>
              <w:top w:type="dxa" w:w="90"/>
              <w:left w:type="dxa" w:w="120"/>
              <w:bottom w:type="dxa" w:w="90"/>
              <w:right w:type="dxa" w:w="120"/>
            </w:tcMar>
            <w:vAlign w:val="center"/>
          </w:tcPr>
          <w:p>
            <w:r>
              <w:rPr>
                <w:b/>
                <w:bCs/>
                <w:color w:val="000000"/>
                <w:sz w:val="19"/>
                <w:szCs w:val="19"/>
              </w:rPr>
              <w:t xml:space="preserve">4. Model</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Build a star schema: fact tables (admissions, ED visits, appointments) and dimensions (date, ward, patient group, region); define measures once</w:t>
            </w:r>
          </w:p>
        </w:tc>
        <w:tc>
          <w:tcPr>
            <w:tcW w:type="dxa" w:w="2300"/>
            <w:shd w:fill="EEF4FA" w:val="clear"/>
            <w:tcMar>
              <w:top w:type="dxa" w:w="90"/>
              <w:left w:type="dxa" w:w="120"/>
              <w:bottom w:type="dxa" w:w="90"/>
              <w:right w:type="dxa" w:w="120"/>
            </w:tcMar>
            <w:vAlign w:val="center"/>
          </w:tcPr>
          <w:p>
            <w:r>
              <w:rPr>
                <w:b w:val="false"/>
                <w:bCs w:val="false"/>
                <w:color w:val="000000"/>
                <w:sz w:val="19"/>
                <w:szCs w:val="19"/>
              </w:rPr>
              <w:t xml:space="preserve">PostgreSQL, Power BI model and DAX</w:t>
            </w:r>
          </w:p>
        </w:tc>
        <w:tc>
          <w:tcPr>
            <w:tcW w:type="dxa" w:w="2480"/>
            <w:shd w:fill="EEF4FA" w:val="clear"/>
            <w:tcMar>
              <w:top w:type="dxa" w:w="90"/>
              <w:left w:type="dxa" w:w="120"/>
              <w:bottom w:type="dxa" w:w="90"/>
              <w:right w:type="dxa" w:w="120"/>
            </w:tcMar>
            <w:vAlign w:val="center"/>
          </w:tcPr>
          <w:p>
            <w:r>
              <w:rPr>
                <w:b w:val="false"/>
                <w:bCs w:val="false"/>
                <w:color w:val="000000"/>
                <w:sz w:val="19"/>
                <w:szCs w:val="19"/>
              </w:rPr>
              <w:t xml:space="preserve">Measures tested against hand-calculated values</w:t>
            </w:r>
          </w:p>
        </w:tc>
      </w:tr>
      <w:tr>
        <w:trPr>
          <w:cantSplit/>
        </w:trPr>
        <w:tc>
          <w:tcPr>
            <w:tcW w:type="dxa" w:w="1500"/>
            <w:tcMar>
              <w:top w:type="dxa" w:w="90"/>
              <w:left w:type="dxa" w:w="120"/>
              <w:bottom w:type="dxa" w:w="90"/>
              <w:right w:type="dxa" w:w="120"/>
            </w:tcMar>
            <w:vAlign w:val="center"/>
          </w:tcPr>
          <w:p>
            <w:r>
              <w:rPr>
                <w:b/>
                <w:bCs/>
                <w:color w:val="000000"/>
                <w:sz w:val="19"/>
                <w:szCs w:val="19"/>
              </w:rPr>
              <w:t xml:space="preserve">5. Design</w:t>
            </w:r>
          </w:p>
        </w:tc>
        <w:tc>
          <w:tcPr>
            <w:tcW w:type="dxa" w:w="3800"/>
            <w:tcMar>
              <w:top w:type="dxa" w:w="90"/>
              <w:left w:type="dxa" w:w="120"/>
              <w:bottom w:type="dxa" w:w="90"/>
              <w:right w:type="dxa" w:w="120"/>
            </w:tcMar>
            <w:vAlign w:val="center"/>
          </w:tcPr>
          <w:p>
            <w:r>
              <w:rPr>
                <w:b w:val="false"/>
                <w:bCs w:val="false"/>
                <w:color w:val="000000"/>
                <w:sz w:val="19"/>
                <w:szCs w:val="19"/>
              </w:rPr>
              <w:t xml:space="preserve">Sketch wireframes on paper, choose chart types from the guide in Section 5, apply palette and layout grid, write headline titles</w:t>
            </w:r>
          </w:p>
        </w:tc>
        <w:tc>
          <w:tcPr>
            <w:tcW w:type="dxa" w:w="2300"/>
            <w:tcMar>
              <w:top w:type="dxa" w:w="90"/>
              <w:left w:type="dxa" w:w="120"/>
              <w:bottom w:type="dxa" w:w="90"/>
              <w:right w:type="dxa" w:w="120"/>
            </w:tcMar>
            <w:vAlign w:val="center"/>
          </w:tcPr>
          <w:p>
            <w:r>
              <w:rPr>
                <w:b w:val="false"/>
                <w:bCs w:val="false"/>
                <w:color w:val="000000"/>
                <w:sz w:val="19"/>
                <w:szCs w:val="19"/>
              </w:rPr>
              <w:t xml:space="preserve">Paper, Python/Figma for mock-ups, Power BI</w:t>
            </w:r>
          </w:p>
        </w:tc>
        <w:tc>
          <w:tcPr>
            <w:tcW w:type="dxa" w:w="2480"/>
            <w:tcMar>
              <w:top w:type="dxa" w:w="90"/>
              <w:left w:type="dxa" w:w="120"/>
              <w:bottom w:type="dxa" w:w="90"/>
              <w:right w:type="dxa" w:w="120"/>
            </w:tcMar>
            <w:vAlign w:val="center"/>
          </w:tcPr>
          <w:p>
            <w:r>
              <w:rPr>
                <w:b w:val="false"/>
                <w:bCs w:val="false"/>
                <w:color w:val="000000"/>
                <w:sz w:val="19"/>
                <w:szCs w:val="19"/>
              </w:rPr>
              <w:t xml:space="preserve">Each visual linked to a named decision</w:t>
            </w:r>
          </w:p>
        </w:tc>
      </w:tr>
      <w:tr>
        <w:trPr>
          <w:cantSplit/>
        </w:trPr>
        <w:tc>
          <w:tcPr>
            <w:tcW w:type="dxa" w:w="1500"/>
            <w:shd w:fill="EEF4FA" w:val="clear"/>
            <w:tcMar>
              <w:top w:type="dxa" w:w="90"/>
              <w:left w:type="dxa" w:w="120"/>
              <w:bottom w:type="dxa" w:w="90"/>
              <w:right w:type="dxa" w:w="120"/>
            </w:tcMar>
            <w:vAlign w:val="center"/>
          </w:tcPr>
          <w:p>
            <w:r>
              <w:rPr>
                <w:b/>
                <w:bCs/>
                <w:color w:val="000000"/>
                <w:sz w:val="19"/>
                <w:szCs w:val="19"/>
              </w:rPr>
              <w:t xml:space="preserve">6. Test and publish</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Usability test with representative users, accessibility checklist, performance check, role-based access, release with refresh schedule</w:t>
            </w:r>
          </w:p>
        </w:tc>
        <w:tc>
          <w:tcPr>
            <w:tcW w:type="dxa" w:w="2300"/>
            <w:shd w:fill="EEF4FA" w:val="clear"/>
            <w:tcMar>
              <w:top w:type="dxa" w:w="90"/>
              <w:left w:type="dxa" w:w="120"/>
              <w:bottom w:type="dxa" w:w="90"/>
              <w:right w:type="dxa" w:w="120"/>
            </w:tcMar>
            <w:vAlign w:val="center"/>
          </w:tcPr>
          <w:p>
            <w:r>
              <w:rPr>
                <w:b w:val="false"/>
                <w:bCs w:val="false"/>
                <w:color w:val="000000"/>
                <w:sz w:val="19"/>
                <w:szCs w:val="19"/>
              </w:rPr>
              <w:t xml:space="preserve">Power BI service, screen reader, contrast checker</w:t>
            </w:r>
          </w:p>
        </w:tc>
        <w:tc>
          <w:tcPr>
            <w:tcW w:type="dxa" w:w="2480"/>
            <w:shd w:fill="EEF4FA" w:val="clear"/>
            <w:tcMar>
              <w:top w:type="dxa" w:w="90"/>
              <w:left w:type="dxa" w:w="120"/>
              <w:bottom w:type="dxa" w:w="90"/>
              <w:right w:type="dxa" w:w="120"/>
            </w:tcMar>
            <w:vAlign w:val="center"/>
          </w:tcPr>
          <w:p>
            <w:r>
              <w:rPr>
                <w:b w:val="false"/>
                <w:bCs w:val="false"/>
                <w:color w:val="000000"/>
                <w:sz w:val="19"/>
                <w:szCs w:val="19"/>
              </w:rPr>
              <w:t xml:space="preserve">Test targets met (Section 8); sign-off by data owner</w:t>
            </w:r>
          </w:p>
        </w:tc>
      </w:tr>
    </w:tbl>
    <w:p>
      <w:pPr>
        <w:spacing w:after="120"/>
      </w:pPr>
    </w:p>
    <w:p>
      <w:pPr>
        <w:spacing w:after="160" w:line="276"/>
        <w:jc w:val="left"/>
      </w:pPr>
      <w:r>
        <w:rPr>
          <w:sz w:val="22"/>
          <w:szCs w:val="22"/>
        </w:rPr>
        <w:t xml:space="preserve">Two design habits make this process dependable. First, measures are defined in one place so that two dashboards cannot report different readmission rates. Second, each stage has an explicit gate, so a problem found late (for example, a unit mismatch) is traced back to the stage that should have caught it and the rule is added there.</w:t>
      </w:r>
    </w:p>
    <w:p>
      <w:pPr>
        <w:pStyle w:val="Heading1"/>
        <w:keepNext/>
        <w:pBdr>
          <w:bottom w:val="single" w:color="0072B2" w:sz="6" w:space="4"/>
        </w:pBdr>
        <w:spacing w:after="160" w:before="360"/>
      </w:pPr>
      <w:r>
        <w:rPr>
          <w:b/>
          <w:bCs/>
          <w:color w:val="1F3864"/>
          <w:sz w:val="30"/>
          <w:szCs w:val="30"/>
        </w:rPr>
        <w:t xml:space="preserve">5. Visualization Techniques and Chart Selection Guide</w:t>
      </w:r>
    </w:p>
    <w:p>
      <w:pPr>
        <w:spacing w:after="160" w:line="276"/>
        <w:jc w:val="left"/>
      </w:pPr>
      <w:r>
        <w:rPr>
          <w:sz w:val="22"/>
          <w:szCs w:val="22"/>
        </w:rPr>
        <w:t xml:space="preserve">Charts are chosen by the question being asked, using research on how accurately people read visual encodings: position along a common scale is read most precisely, while angle, area and colour intensity are read less accurately (Cleveland &amp; McGill, 1984). That is why this plan favours lines, bars and dots over pies and gauges.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900"/>
        <w:gridCol w:w="1880"/>
      </w:tblGrid>
      <w:tr>
        <w:trPr>
          <w:cantSplit/>
          <w:tblHeader/>
        </w:trPr>
        <w:tc>
          <w:tcPr>
            <w:tcW w:type="dxa" w:w="2400"/>
            <w:shd w:fill="1F3864" w:val="clear"/>
            <w:tcMar>
              <w:top w:type="dxa" w:w="90"/>
              <w:left w:type="dxa" w:w="120"/>
              <w:bottom w:type="dxa" w:w="90"/>
              <w:right w:type="dxa" w:w="120"/>
            </w:tcMar>
            <w:vAlign w:val="center"/>
          </w:tcPr>
          <w:p>
            <w:r>
              <w:rPr>
                <w:b/>
                <w:bCs/>
                <w:color w:val="FFFFFF"/>
                <w:sz w:val="19"/>
                <w:szCs w:val="19"/>
              </w:rPr>
              <w:t xml:space="preserve">Question</w:t>
            </w:r>
          </w:p>
        </w:tc>
        <w:tc>
          <w:tcPr>
            <w:tcW w:type="dxa" w:w="2900"/>
            <w:shd w:fill="1F3864" w:val="clear"/>
            <w:tcMar>
              <w:top w:type="dxa" w:w="90"/>
              <w:left w:type="dxa" w:w="120"/>
              <w:bottom w:type="dxa" w:w="90"/>
              <w:right w:type="dxa" w:w="120"/>
            </w:tcMar>
            <w:vAlign w:val="center"/>
          </w:tcPr>
          <w:p>
            <w:r>
              <w:rPr>
                <w:b/>
                <w:bCs/>
                <w:color w:val="FFFFFF"/>
                <w:sz w:val="19"/>
                <w:szCs w:val="19"/>
              </w:rPr>
              <w:t xml:space="preserve">Recommended chart</w:t>
            </w:r>
          </w:p>
        </w:tc>
        <w:tc>
          <w:tcPr>
            <w:tcW w:type="dxa" w:w="2900"/>
            <w:shd w:fill="1F3864" w:val="clear"/>
            <w:tcMar>
              <w:top w:type="dxa" w:w="90"/>
              <w:left w:type="dxa" w:w="120"/>
              <w:bottom w:type="dxa" w:w="90"/>
              <w:right w:type="dxa" w:w="120"/>
            </w:tcMar>
            <w:vAlign w:val="center"/>
          </w:tcPr>
          <w:p>
            <w:r>
              <w:rPr>
                <w:b/>
                <w:bCs/>
                <w:color w:val="FFFFFF"/>
                <w:sz w:val="19"/>
                <w:szCs w:val="19"/>
              </w:rPr>
              <w:t xml:space="preserve">Why</w:t>
            </w:r>
          </w:p>
        </w:tc>
        <w:tc>
          <w:tcPr>
            <w:tcW w:type="dxa" w:w="1880"/>
            <w:shd w:fill="1F3864" w:val="clear"/>
            <w:tcMar>
              <w:top w:type="dxa" w:w="90"/>
              <w:left w:type="dxa" w:w="120"/>
              <w:bottom w:type="dxa" w:w="90"/>
              <w:right w:type="dxa" w:w="120"/>
            </w:tcMar>
            <w:vAlign w:val="center"/>
          </w:tcPr>
          <w:p>
            <w:r>
              <w:rPr>
                <w:b/>
                <w:bCs/>
                <w:color w:val="FFFFFF"/>
                <w:sz w:val="19"/>
                <w:szCs w:val="19"/>
              </w:rPr>
              <w:t xml:space="preserve">Avoid</w:t>
            </w:r>
          </w:p>
        </w:tc>
      </w:tr>
      <w:tr>
        <w:trPr>
          <w:cantSplit/>
        </w:trPr>
        <w:tc>
          <w:tcPr>
            <w:tcW w:type="dxa" w:w="2400"/>
            <w:tcMar>
              <w:top w:type="dxa" w:w="90"/>
              <w:left w:type="dxa" w:w="120"/>
              <w:bottom w:type="dxa" w:w="90"/>
              <w:right w:type="dxa" w:w="120"/>
            </w:tcMar>
            <w:vAlign w:val="center"/>
          </w:tcPr>
          <w:p>
            <w:r>
              <w:rPr>
                <w:b/>
                <w:bCs/>
                <w:color w:val="000000"/>
                <w:sz w:val="19"/>
                <w:szCs w:val="19"/>
              </w:rPr>
              <w:t xml:space="preserve">How has a measure changed over time?</w:t>
            </w:r>
          </w:p>
        </w:tc>
        <w:tc>
          <w:tcPr>
            <w:tcW w:type="dxa" w:w="2900"/>
            <w:tcMar>
              <w:top w:type="dxa" w:w="90"/>
              <w:left w:type="dxa" w:w="120"/>
              <w:bottom w:type="dxa" w:w="90"/>
              <w:right w:type="dxa" w:w="120"/>
            </w:tcMar>
            <w:vAlign w:val="center"/>
          </w:tcPr>
          <w:p>
            <w:r>
              <w:rPr>
                <w:b w:val="false"/>
                <w:bCs w:val="false"/>
                <w:color w:val="000000"/>
                <w:sz w:val="19"/>
                <w:szCs w:val="19"/>
              </w:rPr>
              <w:t xml:space="preserve">Line chart with target line and annotated events</w:t>
            </w:r>
          </w:p>
        </w:tc>
        <w:tc>
          <w:tcPr>
            <w:tcW w:type="dxa" w:w="2900"/>
            <w:tcMar>
              <w:top w:type="dxa" w:w="90"/>
              <w:left w:type="dxa" w:w="120"/>
              <w:bottom w:type="dxa" w:w="90"/>
              <w:right w:type="dxa" w:w="120"/>
            </w:tcMar>
            <w:vAlign w:val="center"/>
          </w:tcPr>
          <w:p>
            <w:r>
              <w:rPr>
                <w:b w:val="false"/>
                <w:bCs w:val="false"/>
                <w:color w:val="000000"/>
                <w:sz w:val="19"/>
                <w:szCs w:val="19"/>
              </w:rPr>
              <w:t xml:space="preserve">Shows direction and pace; target gives context</w:t>
            </w:r>
          </w:p>
        </w:tc>
        <w:tc>
          <w:tcPr>
            <w:tcW w:type="dxa" w:w="1880"/>
            <w:tcMar>
              <w:top w:type="dxa" w:w="90"/>
              <w:left w:type="dxa" w:w="120"/>
              <w:bottom w:type="dxa" w:w="90"/>
              <w:right w:type="dxa" w:w="120"/>
            </w:tcMar>
            <w:vAlign w:val="center"/>
          </w:tcPr>
          <w:p>
            <w:r>
              <w:rPr>
                <w:b w:val="false"/>
                <w:bCs w:val="false"/>
                <w:color w:val="000000"/>
                <w:sz w:val="19"/>
                <w:szCs w:val="19"/>
              </w:rPr>
              <w:t xml:space="preserve">Dual axes; 3-D lines</w:t>
            </w:r>
          </w:p>
        </w:tc>
      </w:tr>
      <w:tr>
        <w:trPr>
          <w:cantSplit/>
        </w:trPr>
        <w:tc>
          <w:tcPr>
            <w:tcW w:type="dxa" w:w="2400"/>
            <w:shd w:fill="EEF4FA" w:val="clear"/>
            <w:tcMar>
              <w:top w:type="dxa" w:w="90"/>
              <w:left w:type="dxa" w:w="120"/>
              <w:bottom w:type="dxa" w:w="90"/>
              <w:right w:type="dxa" w:w="120"/>
            </w:tcMar>
            <w:vAlign w:val="center"/>
          </w:tcPr>
          <w:p>
            <w:r>
              <w:rPr>
                <w:b/>
                <w:bCs/>
                <w:color w:val="000000"/>
                <w:sz w:val="19"/>
                <w:szCs w:val="19"/>
              </w:rPr>
              <w:t xml:space="preserve">Is a change real or random variation?</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Control chart (SPC) with centre line and limits</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Separates special-cause signals from normal variation</w:t>
            </w:r>
          </w:p>
        </w:tc>
        <w:tc>
          <w:tcPr>
            <w:tcW w:type="dxa" w:w="1880"/>
            <w:shd w:fill="EEF4FA" w:val="clear"/>
            <w:tcMar>
              <w:top w:type="dxa" w:w="90"/>
              <w:left w:type="dxa" w:w="120"/>
              <w:bottom w:type="dxa" w:w="90"/>
              <w:right w:type="dxa" w:w="120"/>
            </w:tcMar>
            <w:vAlign w:val="center"/>
          </w:tcPr>
          <w:p>
            <w:r>
              <w:rPr>
                <w:b w:val="false"/>
                <w:bCs w:val="false"/>
                <w:color w:val="000000"/>
                <w:sz w:val="19"/>
                <w:szCs w:val="19"/>
              </w:rPr>
              <w:t xml:space="preserve">Reacting to single-month movements</w:t>
            </w:r>
          </w:p>
        </w:tc>
      </w:tr>
      <w:tr>
        <w:trPr>
          <w:cantSplit/>
        </w:trPr>
        <w:tc>
          <w:tcPr>
            <w:tcW w:type="dxa" w:w="2400"/>
            <w:tcMar>
              <w:top w:type="dxa" w:w="90"/>
              <w:left w:type="dxa" w:w="120"/>
              <w:bottom w:type="dxa" w:w="90"/>
              <w:right w:type="dxa" w:w="120"/>
            </w:tcMar>
            <w:vAlign w:val="center"/>
          </w:tcPr>
          <w:p>
            <w:r>
              <w:rPr>
                <w:b/>
                <w:bCs/>
                <w:color w:val="000000"/>
                <w:sz w:val="19"/>
                <w:szCs w:val="19"/>
              </w:rPr>
              <w:t xml:space="preserve">Which units are better or worse than benchmark?</w:t>
            </w:r>
          </w:p>
        </w:tc>
        <w:tc>
          <w:tcPr>
            <w:tcW w:type="dxa" w:w="2900"/>
            <w:tcMar>
              <w:top w:type="dxa" w:w="90"/>
              <w:left w:type="dxa" w:w="120"/>
              <w:bottom w:type="dxa" w:w="90"/>
              <w:right w:type="dxa" w:w="120"/>
            </w:tcMar>
            <w:vAlign w:val="center"/>
          </w:tcPr>
          <w:p>
            <w:r>
              <w:rPr>
                <w:b w:val="false"/>
                <w:bCs w:val="false"/>
                <w:color w:val="000000"/>
                <w:sz w:val="19"/>
                <w:szCs w:val="19"/>
              </w:rPr>
              <w:t xml:space="preserve">Ranked horizontal bar or dot plot of difference from benchmark</w:t>
            </w:r>
          </w:p>
        </w:tc>
        <w:tc>
          <w:tcPr>
            <w:tcW w:type="dxa" w:w="2900"/>
            <w:tcMar>
              <w:top w:type="dxa" w:w="90"/>
              <w:left w:type="dxa" w:w="120"/>
              <w:bottom w:type="dxa" w:w="90"/>
              <w:right w:type="dxa" w:w="120"/>
            </w:tcMar>
            <w:vAlign w:val="center"/>
          </w:tcPr>
          <w:p>
            <w:r>
              <w:rPr>
                <w:b w:val="false"/>
                <w:bCs w:val="false"/>
                <w:color w:val="000000"/>
                <w:sz w:val="19"/>
                <w:szCs w:val="19"/>
              </w:rPr>
              <w:t xml:space="preserve">Easy sorting and reading of labels</w:t>
            </w:r>
          </w:p>
        </w:tc>
        <w:tc>
          <w:tcPr>
            <w:tcW w:type="dxa" w:w="1880"/>
            <w:tcMar>
              <w:top w:type="dxa" w:w="90"/>
              <w:left w:type="dxa" w:w="120"/>
              <w:bottom w:type="dxa" w:w="90"/>
              <w:right w:type="dxa" w:w="120"/>
            </w:tcMar>
            <w:vAlign w:val="center"/>
          </w:tcPr>
          <w:p>
            <w:r>
              <w:rPr>
                <w:b w:val="false"/>
                <w:bCs w:val="false"/>
                <w:color w:val="000000"/>
                <w:sz w:val="19"/>
                <w:szCs w:val="19"/>
              </w:rPr>
              <w:t xml:space="preserve">Pie charts; unsorted bars</w:t>
            </w:r>
          </w:p>
        </w:tc>
      </w:tr>
      <w:tr>
        <w:trPr>
          <w:cantSplit/>
        </w:trPr>
        <w:tc>
          <w:tcPr>
            <w:tcW w:type="dxa" w:w="2400"/>
            <w:shd w:fill="EEF4FA" w:val="clear"/>
            <w:tcMar>
              <w:top w:type="dxa" w:w="90"/>
              <w:left w:type="dxa" w:w="120"/>
              <w:bottom w:type="dxa" w:w="90"/>
              <w:right w:type="dxa" w:w="120"/>
            </w:tcMar>
            <w:vAlign w:val="center"/>
          </w:tcPr>
          <w:p>
            <w:r>
              <w:rPr>
                <w:b/>
                <w:bCs/>
                <w:color w:val="000000"/>
                <w:sz w:val="19"/>
                <w:szCs w:val="19"/>
              </w:rPr>
              <w:t xml:space="preserve">Where in a pathway do patients drop out?</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Step-down bar (funnel) chart</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Makes the largest loss obvious</w:t>
            </w:r>
          </w:p>
        </w:tc>
        <w:tc>
          <w:tcPr>
            <w:tcW w:type="dxa" w:w="1880"/>
            <w:shd w:fill="EEF4FA" w:val="clear"/>
            <w:tcMar>
              <w:top w:type="dxa" w:w="90"/>
              <w:left w:type="dxa" w:w="120"/>
              <w:bottom w:type="dxa" w:w="90"/>
              <w:right w:type="dxa" w:w="120"/>
            </w:tcMar>
            <w:vAlign w:val="center"/>
          </w:tcPr>
          <w:p>
            <w:r>
              <w:rPr>
                <w:b w:val="false"/>
                <w:bCs w:val="false"/>
                <w:color w:val="000000"/>
                <w:sz w:val="19"/>
                <w:szCs w:val="19"/>
              </w:rPr>
              <w:t xml:space="preserve">Tables of percentages only</w:t>
            </w:r>
          </w:p>
        </w:tc>
      </w:tr>
      <w:tr>
        <w:trPr>
          <w:cantSplit/>
        </w:trPr>
        <w:tc>
          <w:tcPr>
            <w:tcW w:type="dxa" w:w="2400"/>
            <w:tcMar>
              <w:top w:type="dxa" w:w="90"/>
              <w:left w:type="dxa" w:w="120"/>
              <w:bottom w:type="dxa" w:w="90"/>
              <w:right w:type="dxa" w:w="120"/>
            </w:tcMar>
            <w:vAlign w:val="center"/>
          </w:tcPr>
          <w:p>
            <w:r>
              <w:rPr>
                <w:b/>
                <w:bCs/>
                <w:color w:val="000000"/>
                <w:sz w:val="19"/>
                <w:szCs w:val="19"/>
              </w:rPr>
              <w:t xml:space="preserve">When are pressures highest?</w:t>
            </w:r>
          </w:p>
        </w:tc>
        <w:tc>
          <w:tcPr>
            <w:tcW w:type="dxa" w:w="2900"/>
            <w:tcMar>
              <w:top w:type="dxa" w:w="90"/>
              <w:left w:type="dxa" w:w="120"/>
              <w:bottom w:type="dxa" w:w="90"/>
              <w:right w:type="dxa" w:w="120"/>
            </w:tcMar>
            <w:vAlign w:val="center"/>
          </w:tcPr>
          <w:p>
            <w:r>
              <w:rPr>
                <w:b w:val="false"/>
                <w:bCs w:val="false"/>
                <w:color w:val="000000"/>
                <w:sz w:val="19"/>
                <w:szCs w:val="19"/>
              </w:rPr>
              <w:t xml:space="preserve">Heat map (day by hour or ward by day) with values printed in cells</w:t>
            </w:r>
          </w:p>
        </w:tc>
        <w:tc>
          <w:tcPr>
            <w:tcW w:type="dxa" w:w="2900"/>
            <w:tcMar>
              <w:top w:type="dxa" w:w="90"/>
              <w:left w:type="dxa" w:w="120"/>
              <w:bottom w:type="dxa" w:w="90"/>
              <w:right w:type="dxa" w:w="120"/>
            </w:tcMar>
            <w:vAlign w:val="center"/>
          </w:tcPr>
          <w:p>
            <w:r>
              <w:rPr>
                <w:b w:val="false"/>
                <w:bCs w:val="false"/>
                <w:color w:val="000000"/>
                <w:sz w:val="19"/>
                <w:szCs w:val="19"/>
              </w:rPr>
              <w:t xml:space="preserve">Reveals patterns across two dimensions</w:t>
            </w:r>
          </w:p>
        </w:tc>
        <w:tc>
          <w:tcPr>
            <w:tcW w:type="dxa" w:w="1880"/>
            <w:tcMar>
              <w:top w:type="dxa" w:w="90"/>
              <w:left w:type="dxa" w:w="120"/>
              <w:bottom w:type="dxa" w:w="90"/>
              <w:right w:type="dxa" w:w="120"/>
            </w:tcMar>
            <w:vAlign w:val="center"/>
          </w:tcPr>
          <w:p>
            <w:r>
              <w:rPr>
                <w:b w:val="false"/>
                <w:bCs w:val="false"/>
                <w:color w:val="000000"/>
                <w:sz w:val="19"/>
                <w:szCs w:val="19"/>
              </w:rPr>
              <w:t xml:space="preserve">Rainbow colour scales</w:t>
            </w:r>
          </w:p>
        </w:tc>
      </w:tr>
      <w:tr>
        <w:trPr>
          <w:cantSplit/>
        </w:trPr>
        <w:tc>
          <w:tcPr>
            <w:tcW w:type="dxa" w:w="2400"/>
            <w:shd w:fill="EEF4FA" w:val="clear"/>
            <w:tcMar>
              <w:top w:type="dxa" w:w="90"/>
              <w:left w:type="dxa" w:w="120"/>
              <w:bottom w:type="dxa" w:w="90"/>
              <w:right w:type="dxa" w:w="120"/>
            </w:tcMar>
            <w:vAlign w:val="center"/>
          </w:tcPr>
          <w:p>
            <w:r>
              <w:rPr>
                <w:b/>
                <w:bCs/>
                <w:color w:val="000000"/>
                <w:sz w:val="19"/>
                <w:szCs w:val="19"/>
              </w:rPr>
              <w:t xml:space="preserve">How do regions compare?</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Equal-sized tile map plus ranked list</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Avoids large, sparsely populated areas dominating the view</w:t>
            </w:r>
          </w:p>
        </w:tc>
        <w:tc>
          <w:tcPr>
            <w:tcW w:type="dxa" w:w="1880"/>
            <w:shd w:fill="EEF4FA" w:val="clear"/>
            <w:tcMar>
              <w:top w:type="dxa" w:w="90"/>
              <w:left w:type="dxa" w:w="120"/>
              <w:bottom w:type="dxa" w:w="90"/>
              <w:right w:type="dxa" w:w="120"/>
            </w:tcMar>
            <w:vAlign w:val="center"/>
          </w:tcPr>
          <w:p>
            <w:r>
              <w:rPr>
                <w:b w:val="false"/>
                <w:bCs w:val="false"/>
                <w:color w:val="000000"/>
                <w:sz w:val="19"/>
                <w:szCs w:val="19"/>
              </w:rPr>
              <w:t xml:space="preserve">Choropleth only, without a list</w:t>
            </w:r>
          </w:p>
        </w:tc>
      </w:tr>
      <w:tr>
        <w:trPr>
          <w:cantSplit/>
        </w:trPr>
        <w:tc>
          <w:tcPr>
            <w:tcW w:type="dxa" w:w="2400"/>
            <w:tcMar>
              <w:top w:type="dxa" w:w="90"/>
              <w:left w:type="dxa" w:w="120"/>
              <w:bottom w:type="dxa" w:w="90"/>
              <w:right w:type="dxa" w:w="120"/>
            </w:tcMar>
            <w:vAlign w:val="center"/>
          </w:tcPr>
          <w:p>
            <w:r>
              <w:rPr>
                <w:b/>
                <w:bCs/>
                <w:color w:val="000000"/>
                <w:sz w:val="19"/>
                <w:szCs w:val="19"/>
              </w:rPr>
              <w:t xml:space="preserve">How big are gaps between groups?</w:t>
            </w:r>
          </w:p>
        </w:tc>
        <w:tc>
          <w:tcPr>
            <w:tcW w:type="dxa" w:w="2900"/>
            <w:tcMar>
              <w:top w:type="dxa" w:w="90"/>
              <w:left w:type="dxa" w:w="120"/>
              <w:bottom w:type="dxa" w:w="90"/>
              <w:right w:type="dxa" w:w="120"/>
            </w:tcMar>
            <w:vAlign w:val="center"/>
          </w:tcPr>
          <w:p>
            <w:r>
              <w:rPr>
                <w:b w:val="false"/>
                <w:bCs w:val="false"/>
                <w:color w:val="000000"/>
                <w:sz w:val="19"/>
                <w:szCs w:val="19"/>
              </w:rPr>
              <w:t xml:space="preserve">Dot plot (lollipop) sorted by value</w:t>
            </w:r>
          </w:p>
        </w:tc>
        <w:tc>
          <w:tcPr>
            <w:tcW w:type="dxa" w:w="2900"/>
            <w:tcMar>
              <w:top w:type="dxa" w:w="90"/>
              <w:left w:type="dxa" w:w="120"/>
              <w:bottom w:type="dxa" w:w="90"/>
              <w:right w:type="dxa" w:w="120"/>
            </w:tcMar>
            <w:vAlign w:val="center"/>
          </w:tcPr>
          <w:p>
            <w:r>
              <w:rPr>
                <w:b w:val="false"/>
                <w:bCs w:val="false"/>
                <w:color w:val="000000"/>
                <w:sz w:val="19"/>
                <w:szCs w:val="19"/>
              </w:rPr>
              <w:t xml:space="preserve">Shows distance between groups clearly</w:t>
            </w:r>
          </w:p>
        </w:tc>
        <w:tc>
          <w:tcPr>
            <w:tcW w:type="dxa" w:w="1880"/>
            <w:tcMar>
              <w:top w:type="dxa" w:w="90"/>
              <w:left w:type="dxa" w:w="120"/>
              <w:bottom w:type="dxa" w:w="90"/>
              <w:right w:type="dxa" w:w="120"/>
            </w:tcMar>
            <w:vAlign w:val="center"/>
          </w:tcPr>
          <w:p>
            <w:r>
              <w:rPr>
                <w:b w:val="false"/>
                <w:bCs w:val="false"/>
                <w:color w:val="000000"/>
                <w:sz w:val="19"/>
                <w:szCs w:val="19"/>
              </w:rPr>
              <w:t xml:space="preserve">Stacked bars across many groups</w:t>
            </w:r>
          </w:p>
        </w:tc>
      </w:tr>
      <w:tr>
        <w:trPr>
          <w:cantSplit/>
        </w:trPr>
        <w:tc>
          <w:tcPr>
            <w:tcW w:type="dxa" w:w="2400"/>
            <w:shd w:fill="EEF4FA" w:val="clear"/>
            <w:tcMar>
              <w:top w:type="dxa" w:w="90"/>
              <w:left w:type="dxa" w:w="120"/>
              <w:bottom w:type="dxa" w:w="90"/>
              <w:right w:type="dxa" w:w="120"/>
            </w:tcMar>
            <w:vAlign w:val="center"/>
          </w:tcPr>
          <w:p>
            <w:r>
              <w:rPr>
                <w:b/>
                <w:bCs/>
                <w:color w:val="000000"/>
                <w:sz w:val="19"/>
                <w:szCs w:val="19"/>
              </w:rPr>
              <w:t xml:space="preserve">Is a small hospital really worse?</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Funnel plot with control limits by volume</w:t>
            </w:r>
          </w:p>
        </w:tc>
        <w:tc>
          <w:tcPr>
            <w:tcW w:type="dxa" w:w="2900"/>
            <w:shd w:fill="EEF4FA" w:val="clear"/>
            <w:tcMar>
              <w:top w:type="dxa" w:w="90"/>
              <w:left w:type="dxa" w:w="120"/>
              <w:bottom w:type="dxa" w:w="90"/>
              <w:right w:type="dxa" w:w="120"/>
            </w:tcMar>
            <w:vAlign w:val="center"/>
          </w:tcPr>
          <w:p>
            <w:r>
              <w:rPr>
                <w:b w:val="false"/>
                <w:bCs w:val="false"/>
                <w:color w:val="000000"/>
                <w:sz w:val="19"/>
                <w:szCs w:val="19"/>
              </w:rPr>
              <w:t xml:space="preserve">Accounts for small-number variation (Spiegelhalter, 2005)</w:t>
            </w:r>
          </w:p>
        </w:tc>
        <w:tc>
          <w:tcPr>
            <w:tcW w:type="dxa" w:w="1880"/>
            <w:shd w:fill="EEF4FA" w:val="clear"/>
            <w:tcMar>
              <w:top w:type="dxa" w:w="90"/>
              <w:left w:type="dxa" w:w="120"/>
              <w:bottom w:type="dxa" w:w="90"/>
              <w:right w:type="dxa" w:w="120"/>
            </w:tcMar>
            <w:vAlign w:val="center"/>
          </w:tcPr>
          <w:p>
            <w:r>
              <w:rPr>
                <w:b w:val="false"/>
                <w:bCs w:val="false"/>
                <w:color w:val="000000"/>
                <w:sz w:val="19"/>
                <w:szCs w:val="19"/>
              </w:rPr>
              <w:t xml:space="preserve">League tables without uncertainty</w:t>
            </w:r>
          </w:p>
        </w:tc>
      </w:tr>
      <w:tr>
        <w:trPr>
          <w:cantSplit/>
        </w:trPr>
        <w:tc>
          <w:tcPr>
            <w:tcW w:type="dxa" w:w="2400"/>
            <w:tcMar>
              <w:top w:type="dxa" w:w="90"/>
              <w:left w:type="dxa" w:w="120"/>
              <w:bottom w:type="dxa" w:w="90"/>
              <w:right w:type="dxa" w:w="120"/>
            </w:tcMar>
            <w:vAlign w:val="center"/>
          </w:tcPr>
          <w:p>
            <w:r>
              <w:rPr>
                <w:b/>
                <w:bCs/>
                <w:color w:val="000000"/>
                <w:sz w:val="19"/>
                <w:szCs w:val="19"/>
              </w:rPr>
              <w:t xml:space="preserve">What is the exact value?</w:t>
            </w:r>
          </w:p>
        </w:tc>
        <w:tc>
          <w:tcPr>
            <w:tcW w:type="dxa" w:w="2900"/>
            <w:tcMar>
              <w:top w:type="dxa" w:w="90"/>
              <w:left w:type="dxa" w:w="120"/>
              <w:bottom w:type="dxa" w:w="90"/>
              <w:right w:type="dxa" w:w="120"/>
            </w:tcMar>
            <w:vAlign w:val="center"/>
          </w:tcPr>
          <w:p>
            <w:r>
              <w:rPr>
                <w:b w:val="false"/>
                <w:bCs w:val="false"/>
                <w:color w:val="000000"/>
                <w:sz w:val="19"/>
                <w:szCs w:val="19"/>
              </w:rPr>
              <w:t xml:space="preserve">Large number tile with status symbol and comparison</w:t>
            </w:r>
          </w:p>
        </w:tc>
        <w:tc>
          <w:tcPr>
            <w:tcW w:type="dxa" w:w="2900"/>
            <w:tcMar>
              <w:top w:type="dxa" w:w="90"/>
              <w:left w:type="dxa" w:w="120"/>
              <w:bottom w:type="dxa" w:w="90"/>
              <w:right w:type="dxa" w:w="120"/>
            </w:tcMar>
            <w:vAlign w:val="center"/>
          </w:tcPr>
          <w:p>
            <w:r>
              <w:rPr>
                <w:b w:val="false"/>
                <w:bCs w:val="false"/>
                <w:color w:val="000000"/>
                <w:sz w:val="19"/>
                <w:szCs w:val="19"/>
              </w:rPr>
              <w:t xml:space="preserve">Fast scanning for executives</w:t>
            </w:r>
          </w:p>
        </w:tc>
        <w:tc>
          <w:tcPr>
            <w:tcW w:type="dxa" w:w="1880"/>
            <w:tcMar>
              <w:top w:type="dxa" w:w="90"/>
              <w:left w:type="dxa" w:w="120"/>
              <w:bottom w:type="dxa" w:w="90"/>
              <w:right w:type="dxa" w:w="120"/>
            </w:tcMar>
            <w:vAlign w:val="center"/>
          </w:tcPr>
          <w:p>
            <w:r>
              <w:rPr>
                <w:b w:val="false"/>
                <w:bCs w:val="false"/>
                <w:color w:val="000000"/>
                <w:sz w:val="19"/>
                <w:szCs w:val="19"/>
              </w:rPr>
              <w:t xml:space="preserve">Gauges and speedometers</w:t>
            </w:r>
          </w:p>
        </w:tc>
      </w:tr>
    </w:tbl>
    <w:p>
      <w:pPr>
        <w:spacing w:after="120"/>
      </w:pPr>
    </w:p>
    <w:p>
      <w:pPr>
        <w:pStyle w:val="Heading2"/>
        <w:keepNext/>
        <w:spacing w:after="120" w:before="280"/>
      </w:pPr>
      <w:r>
        <w:rPr>
          <w:b/>
          <w:bCs/>
          <w:color w:val="0072B2"/>
          <w:sz w:val="25"/>
          <w:szCs w:val="25"/>
        </w:rPr>
        <w:t xml:space="preserve">5.1 Honest Visual Communication</w:t>
      </w:r>
    </w:p>
    <w:p>
      <w:pPr>
        <w:pStyle w:val="ListParagraph"/>
        <w:numPr>
          <w:ilvl w:val="0"/>
          <w:numId w:val="2"/>
        </w:numPr>
        <w:spacing w:after="90" w:line="276"/>
      </w:pPr>
      <w:r>
        <w:rPr>
          <w:sz w:val="22"/>
          <w:szCs w:val="22"/>
        </w:rPr>
        <w:t xml:space="preserve">Bar charts start at zero; line charts may use a trimmed axis but the axis range is labelled.</w:t>
      </w:r>
    </w:p>
    <w:p>
      <w:pPr>
        <w:pStyle w:val="ListParagraph"/>
        <w:numPr>
          <w:ilvl w:val="0"/>
          <w:numId w:val="2"/>
        </w:numPr>
        <w:spacing w:after="90" w:line="276"/>
      </w:pPr>
      <w:r>
        <w:rPr>
          <w:sz w:val="22"/>
          <w:szCs w:val="22"/>
        </w:rPr>
        <w:t xml:space="preserve">Rates are shown with denominators or confidence intervals where counts are small.</w:t>
      </w:r>
    </w:p>
    <w:p>
      <w:pPr>
        <w:pStyle w:val="ListParagraph"/>
        <w:numPr>
          <w:ilvl w:val="0"/>
          <w:numId w:val="2"/>
        </w:numPr>
        <w:spacing w:after="90" w:line="276"/>
      </w:pPr>
      <w:r>
        <w:rPr>
          <w:sz w:val="22"/>
          <w:szCs w:val="22"/>
        </w:rPr>
        <w:t xml:space="preserve">Counts below a minimum cell size (for example, fewer than 11) are suppressed to protect privacy, a convention used in public health reporting.</w:t>
      </w:r>
    </w:p>
    <w:p>
      <w:pPr>
        <w:pStyle w:val="ListParagraph"/>
        <w:numPr>
          <w:ilvl w:val="0"/>
          <w:numId w:val="2"/>
        </w:numPr>
        <w:spacing w:after="90" w:line="276"/>
      </w:pPr>
      <w:r>
        <w:rPr>
          <w:sz w:val="22"/>
          <w:szCs w:val="22"/>
        </w:rPr>
        <w:t xml:space="preserve">Outcomes that depend on patient mix (mortality, readmissions) are labelled as risk-adjusted or unadjusted.</w:t>
      </w:r>
    </w:p>
    <w:p>
      <w:pPr>
        <w:pStyle w:val="ListParagraph"/>
        <w:numPr>
          <w:ilvl w:val="0"/>
          <w:numId w:val="2"/>
        </w:numPr>
        <w:spacing w:after="90" w:line="276"/>
      </w:pPr>
      <w:r>
        <w:rPr>
          <w:sz w:val="22"/>
          <w:szCs w:val="22"/>
        </w:rPr>
        <w:t xml:space="preserve">Colour carries meaning consistently across all pages: blue for on target, orange for watch, vermillion for action needed.</w:t>
      </w:r>
    </w:p>
    <w:p>
      <w:pPr>
        <w:pStyle w:val="Heading1"/>
        <w:keepNext/>
        <w:pBdr>
          <w:bottom w:val="single" w:color="0072B2" w:sz="6" w:space="4"/>
        </w:pBdr>
        <w:spacing w:after="160" w:before="360"/>
      </w:pPr>
      <w:r>
        <w:rPr>
          <w:b/>
          <w:bCs/>
          <w:color w:val="1F3864"/>
          <w:sz w:val="30"/>
          <w:szCs w:val="30"/>
        </w:rPr>
        <w:t xml:space="preserve">6. Dashboard and Report Mock-ups</w:t>
      </w:r>
    </w:p>
    <w:p>
      <w:pPr>
        <w:spacing w:after="160" w:line="276"/>
        <w:jc w:val="left"/>
      </w:pPr>
      <w:r>
        <w:rPr>
          <w:sz w:val="22"/>
          <w:szCs w:val="22"/>
        </w:rPr>
        <w:t xml:space="preserve">Three dashboards and one printable report are presented. Numbered circles on each mock-up correspond to the tables beneath it, which explain what each visual shows, what problem it helps identify, and what decision it supports. The mock-ups were drawn with Python and illustrate how the final Power BI pages would be laid out.</w:t>
      </w:r>
    </w:p>
    <w:p>
      <w:pPr>
        <w:pStyle w:val="Heading2"/>
        <w:keepNext/>
        <w:spacing w:after="120" w:before="280"/>
      </w:pPr>
      <w:r>
        <w:rPr>
          <w:b/>
          <w:bCs/>
          <w:color w:val="0072B2"/>
          <w:sz w:val="25"/>
          <w:szCs w:val="25"/>
        </w:rPr>
        <w:t xml:space="preserve">6.1 Dashboard 1: Hospital Operations Overview (executives and ward managers)</w:t>
      </w:r>
    </w:p>
    <w:p>
      <w:pPr>
        <w:keepNext/>
        <w:spacing w:after="80" w:before="120"/>
        <w:jc w:val="center"/>
      </w:pPr>
      <w:r>
        <w:drawing>
          <wp:inline distT="0" distB="0" distL="0" distR="0">
            <wp:extent cx="6286500" cy="3895725"/>
            <wp:effectExtent t="0" r="0" b="0" l="0"/>
            <wp:docPr id="1" name="fig2_exec.png" descr="Mock-up of an operations dashboard with four KPI tiles on top, a readmission trend line, an emergency department wait-by-hour column chart, a ward by weekday occupancy heat map, and a what-needs-attention panel." title="Figure 2. Operations dashboard mock-up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895725"/>
                    </a:xfrm>
                    <a:prstGeom prst="rect">
                      <a:avLst/>
                    </a:prstGeom>
                  </pic:spPr>
                </pic:pic>
              </a:graphicData>
            </a:graphic>
          </wp:inline>
        </w:drawing>
      </w:r>
    </w:p>
    <w:p>
      <w:pPr>
        <w:spacing w:after="200"/>
        <w:jc w:val="center"/>
      </w:pPr>
      <w:r>
        <w:rPr>
          <w:i/>
          <w:iCs/>
          <w:color w:val="595959"/>
          <w:sz w:val="19"/>
          <w:szCs w:val="19"/>
        </w:rPr>
        <w:t xml:space="preserve">Figure 2. Operations dashboard mock-up (illustrative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300"/>
        <w:gridCol w:w="3280"/>
      </w:tblGrid>
      <w:tr>
        <w:trPr>
          <w:cantSplit/>
          <w:tblHeader/>
        </w:trPr>
        <w:tc>
          <w:tcPr>
            <w:tcW w:type="dxa" w:w="500"/>
            <w:shd w:fill="1F3864" w:val="clear"/>
            <w:tcMar>
              <w:top w:type="dxa" w:w="90"/>
              <w:left w:type="dxa" w:w="120"/>
              <w:bottom w:type="dxa" w:w="90"/>
              <w:right w:type="dxa" w:w="120"/>
            </w:tcMar>
            <w:vAlign w:val="center"/>
          </w:tcPr>
          <w:p>
            <w:r>
              <w:rPr>
                <w:b/>
                <w:bCs/>
                <w:color w:val="FFFFFF"/>
                <w:sz w:val="19"/>
                <w:szCs w:val="19"/>
              </w:rPr>
              <w:t xml:space="preserve">#</w:t>
            </w:r>
          </w:p>
        </w:tc>
        <w:tc>
          <w:tcPr>
            <w:tcW w:type="dxa" w:w="3000"/>
            <w:shd w:fill="1F3864" w:val="clear"/>
            <w:tcMar>
              <w:top w:type="dxa" w:w="90"/>
              <w:left w:type="dxa" w:w="120"/>
              <w:bottom w:type="dxa" w:w="90"/>
              <w:right w:type="dxa" w:w="120"/>
            </w:tcMar>
            <w:vAlign w:val="center"/>
          </w:tcPr>
          <w:p>
            <w:r>
              <w:rPr>
                <w:b/>
                <w:bCs/>
                <w:color w:val="FFFFFF"/>
                <w:sz w:val="19"/>
                <w:szCs w:val="19"/>
              </w:rPr>
              <w:t xml:space="preserve">Element</w:t>
            </w:r>
          </w:p>
        </w:tc>
        <w:tc>
          <w:tcPr>
            <w:tcW w:type="dxa" w:w="3300"/>
            <w:shd w:fill="1F3864" w:val="clear"/>
            <w:tcMar>
              <w:top w:type="dxa" w:w="90"/>
              <w:left w:type="dxa" w:w="120"/>
              <w:bottom w:type="dxa" w:w="90"/>
              <w:right w:type="dxa" w:w="120"/>
            </w:tcMar>
            <w:vAlign w:val="center"/>
          </w:tcPr>
          <w:p>
            <w:r>
              <w:rPr>
                <w:b/>
                <w:bCs/>
                <w:color w:val="FFFFFF"/>
                <w:sz w:val="19"/>
                <w:szCs w:val="19"/>
              </w:rPr>
              <w:t xml:space="preserve">Problem it helps identify</w:t>
            </w:r>
          </w:p>
        </w:tc>
        <w:tc>
          <w:tcPr>
            <w:tcW w:type="dxa" w:w="3280"/>
            <w:shd w:fill="1F3864" w:val="clear"/>
            <w:tcMar>
              <w:top w:type="dxa" w:w="90"/>
              <w:left w:type="dxa" w:w="120"/>
              <w:bottom w:type="dxa" w:w="90"/>
              <w:right w:type="dxa" w:w="120"/>
            </w:tcMar>
            <w:vAlign w:val="center"/>
          </w:tcPr>
          <w:p>
            <w:r>
              <w:rPr>
                <w:b/>
                <w:bCs/>
                <w:color w:val="FFFFFF"/>
                <w:sz w:val="19"/>
                <w:szCs w:val="19"/>
              </w:rPr>
              <w:t xml:space="preserve">Decision supported</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1</w:t>
            </w:r>
          </w:p>
        </w:tc>
        <w:tc>
          <w:tcPr>
            <w:tcW w:type="dxa" w:w="3000"/>
            <w:tcMar>
              <w:top w:type="dxa" w:w="90"/>
              <w:left w:type="dxa" w:w="120"/>
              <w:bottom w:type="dxa" w:w="90"/>
              <w:right w:type="dxa" w:w="120"/>
            </w:tcMar>
            <w:vAlign w:val="center"/>
          </w:tcPr>
          <w:p>
            <w:r>
              <w:rPr>
                <w:b w:val="false"/>
                <w:bCs w:val="false"/>
                <w:color w:val="000000"/>
                <w:sz w:val="19"/>
                <w:szCs w:val="19"/>
              </w:rPr>
              <w:t xml:space="preserve">KPI tiles with status symbol and comparison text</w:t>
            </w:r>
          </w:p>
        </w:tc>
        <w:tc>
          <w:tcPr>
            <w:tcW w:type="dxa" w:w="3300"/>
            <w:tcMar>
              <w:top w:type="dxa" w:w="90"/>
              <w:left w:type="dxa" w:w="120"/>
              <w:bottom w:type="dxa" w:w="90"/>
              <w:right w:type="dxa" w:w="120"/>
            </w:tcMar>
            <w:vAlign w:val="center"/>
          </w:tcPr>
          <w:p>
            <w:r>
              <w:rPr>
                <w:b w:val="false"/>
                <w:bCs w:val="false"/>
                <w:color w:val="000000"/>
                <w:sz w:val="19"/>
                <w:szCs w:val="19"/>
              </w:rPr>
              <w:t xml:space="preserve">Which of the four headline measures is off target, at a glance</w:t>
            </w:r>
          </w:p>
        </w:tc>
        <w:tc>
          <w:tcPr>
            <w:tcW w:type="dxa" w:w="3280"/>
            <w:tcMar>
              <w:top w:type="dxa" w:w="90"/>
              <w:left w:type="dxa" w:w="120"/>
              <w:bottom w:type="dxa" w:w="90"/>
              <w:right w:type="dxa" w:w="120"/>
            </w:tcMar>
            <w:vAlign w:val="center"/>
          </w:tcPr>
          <w:p>
            <w:r>
              <w:rPr>
                <w:b w:val="false"/>
                <w:bCs w:val="false"/>
                <w:color w:val="000000"/>
                <w:sz w:val="19"/>
                <w:szCs w:val="19"/>
              </w:rPr>
              <w:t xml:space="preserve">Where to direct attention first in a short meeting</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2</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Readmission trend with target line</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A sustained upward drift that a single monthly number would hide</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Commission a review of discharge planning on the wards driving the rise</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3</w:t>
            </w:r>
          </w:p>
        </w:tc>
        <w:tc>
          <w:tcPr>
            <w:tcW w:type="dxa" w:w="3000"/>
            <w:tcMar>
              <w:top w:type="dxa" w:w="90"/>
              <w:left w:type="dxa" w:w="120"/>
              <w:bottom w:type="dxa" w:w="90"/>
              <w:right w:type="dxa" w:w="120"/>
            </w:tcMar>
            <w:vAlign w:val="center"/>
          </w:tcPr>
          <w:p>
            <w:r>
              <w:rPr>
                <w:b w:val="false"/>
                <w:bCs w:val="false"/>
                <w:color w:val="000000"/>
                <w:sz w:val="19"/>
                <w:szCs w:val="19"/>
              </w:rPr>
              <w:t xml:space="preserve">ED wait by hour with 60-minute limit</w:t>
            </w:r>
          </w:p>
        </w:tc>
        <w:tc>
          <w:tcPr>
            <w:tcW w:type="dxa" w:w="3300"/>
            <w:tcMar>
              <w:top w:type="dxa" w:w="90"/>
              <w:left w:type="dxa" w:w="120"/>
              <w:bottom w:type="dxa" w:w="90"/>
              <w:right w:type="dxa" w:w="120"/>
            </w:tcMar>
            <w:vAlign w:val="center"/>
          </w:tcPr>
          <w:p>
            <w:r>
              <w:rPr>
                <w:b w:val="false"/>
                <w:bCs w:val="false"/>
                <w:color w:val="000000"/>
                <w:sz w:val="19"/>
                <w:szCs w:val="19"/>
              </w:rPr>
              <w:t xml:space="preserve">Predictable evening peak in waiting time</w:t>
            </w:r>
          </w:p>
        </w:tc>
        <w:tc>
          <w:tcPr>
            <w:tcW w:type="dxa" w:w="3280"/>
            <w:tcMar>
              <w:top w:type="dxa" w:w="90"/>
              <w:left w:type="dxa" w:w="120"/>
              <w:bottom w:type="dxa" w:w="90"/>
              <w:right w:type="dxa" w:w="120"/>
            </w:tcMar>
            <w:vAlign w:val="center"/>
          </w:tcPr>
          <w:p>
            <w:r>
              <w:rPr>
                <w:b w:val="false"/>
                <w:bCs w:val="false"/>
                <w:color w:val="000000"/>
                <w:sz w:val="19"/>
                <w:szCs w:val="19"/>
              </w:rPr>
              <w:t xml:space="preserve">Shift staffing or add a triage nurse during 5-9 pm</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4</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Ward by weekday occupancy heat map</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Wards running near capacity on specific days</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Plan step-down beds and elective scheduling</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5</w:t>
            </w:r>
          </w:p>
        </w:tc>
        <w:tc>
          <w:tcPr>
            <w:tcW w:type="dxa" w:w="3000"/>
            <w:tcMar>
              <w:top w:type="dxa" w:w="90"/>
              <w:left w:type="dxa" w:w="120"/>
              <w:bottom w:type="dxa" w:w="90"/>
              <w:right w:type="dxa" w:w="120"/>
            </w:tcMar>
            <w:vAlign w:val="center"/>
          </w:tcPr>
          <w:p>
            <w:r>
              <w:rPr>
                <w:b w:val="false"/>
                <w:bCs w:val="false"/>
                <w:color w:val="000000"/>
                <w:sz w:val="19"/>
                <w:szCs w:val="19"/>
              </w:rPr>
              <w:t xml:space="preserve">What-needs-attention list</w:t>
            </w:r>
          </w:p>
        </w:tc>
        <w:tc>
          <w:tcPr>
            <w:tcW w:type="dxa" w:w="3300"/>
            <w:tcMar>
              <w:top w:type="dxa" w:w="90"/>
              <w:left w:type="dxa" w:w="120"/>
              <w:bottom w:type="dxa" w:w="90"/>
              <w:right w:type="dxa" w:w="120"/>
            </w:tcMar>
            <w:vAlign w:val="center"/>
          </w:tcPr>
          <w:p>
            <w:r>
              <w:rPr>
                <w:b w:val="false"/>
                <w:bCs w:val="false"/>
                <w:color w:val="000000"/>
                <w:sz w:val="19"/>
                <w:szCs w:val="19"/>
              </w:rPr>
              <w:t xml:space="preserve">Translates the charts into a prioritised action list for non-analysts</w:t>
            </w:r>
          </w:p>
        </w:tc>
        <w:tc>
          <w:tcPr>
            <w:tcW w:type="dxa" w:w="3280"/>
            <w:tcMar>
              <w:top w:type="dxa" w:w="90"/>
              <w:left w:type="dxa" w:w="120"/>
              <w:bottom w:type="dxa" w:w="90"/>
              <w:right w:type="dxa" w:w="120"/>
            </w:tcMar>
            <w:vAlign w:val="center"/>
          </w:tcPr>
          <w:p>
            <w:r>
              <w:rPr>
                <w:b w:val="false"/>
                <w:bCs w:val="false"/>
                <w:color w:val="000000"/>
                <w:sz w:val="19"/>
                <w:szCs w:val="19"/>
              </w:rPr>
              <w:t xml:space="preserve">Assign owners and track follow-up</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6</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Filters (period, site, department, patient group)</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Whether a problem is local or hospital-wide</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Targeted rather than blanket interventions</w:t>
            </w:r>
          </w:p>
        </w:tc>
      </w:tr>
    </w:tbl>
    <w:p>
      <w:pPr>
        <w:spacing w:after="120"/>
      </w:pPr>
    </w:p>
    <w:p>
      <w:pPr>
        <w:pStyle w:val="Heading2"/>
        <w:keepNext/>
        <w:spacing w:after="120" w:before="280"/>
      </w:pPr>
      <w:r>
        <w:rPr>
          <w:b/>
          <w:bCs/>
          <w:color w:val="0072B2"/>
          <w:sz w:val="25"/>
          <w:szCs w:val="25"/>
        </w:rPr>
        <w:t xml:space="preserve">6.2 Dashboard 2: Clinical Quality and Patient Safety (quality leads and clinicians)</w:t>
      </w:r>
    </w:p>
    <w:p>
      <w:pPr>
        <w:keepNext/>
        <w:spacing w:after="80" w:before="120"/>
        <w:jc w:val="center"/>
      </w:pPr>
      <w:r>
        <w:drawing>
          <wp:inline distT="0" distB="0" distL="0" distR="0">
            <wp:extent cx="6286500" cy="3619500"/>
            <wp:effectExtent t="0" r="0" b="0" l="0"/>
            <wp:docPr id="1" name="fig3_quality.png" descr="Mock-up of a quality dashboard with a control chart of infection rate showing recent points above the upper limit, a ranked bar chart of length-of-stay difference from benchmark by department, a sepsis care-bundle step-down bar chart, and a safety indicator status table." title="Figure 3. Quality and safety dashboard mock-up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619500"/>
                    </a:xfrm>
                    <a:prstGeom prst="rect">
                      <a:avLst/>
                    </a:prstGeom>
                  </pic:spPr>
                </pic:pic>
              </a:graphicData>
            </a:graphic>
          </wp:inline>
        </w:drawing>
      </w:r>
    </w:p>
    <w:p>
      <w:pPr>
        <w:spacing w:after="200"/>
        <w:jc w:val="center"/>
      </w:pPr>
      <w:r>
        <w:rPr>
          <w:i/>
          <w:iCs/>
          <w:color w:val="595959"/>
          <w:sz w:val="19"/>
          <w:szCs w:val="19"/>
        </w:rPr>
        <w:t xml:space="preserve">Figure 3. Quality and safety dashboard mock-up (illustrative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300"/>
        <w:gridCol w:w="3280"/>
      </w:tblGrid>
      <w:tr>
        <w:trPr>
          <w:cantSplit/>
          <w:tblHeader/>
        </w:trPr>
        <w:tc>
          <w:tcPr>
            <w:tcW w:type="dxa" w:w="500"/>
            <w:shd w:fill="1F3864" w:val="clear"/>
            <w:tcMar>
              <w:top w:type="dxa" w:w="90"/>
              <w:left w:type="dxa" w:w="120"/>
              <w:bottom w:type="dxa" w:w="90"/>
              <w:right w:type="dxa" w:w="120"/>
            </w:tcMar>
            <w:vAlign w:val="center"/>
          </w:tcPr>
          <w:p>
            <w:r>
              <w:rPr>
                <w:b/>
                <w:bCs/>
                <w:color w:val="FFFFFF"/>
                <w:sz w:val="19"/>
                <w:szCs w:val="19"/>
              </w:rPr>
              <w:t xml:space="preserve">#</w:t>
            </w:r>
          </w:p>
        </w:tc>
        <w:tc>
          <w:tcPr>
            <w:tcW w:type="dxa" w:w="3000"/>
            <w:shd w:fill="1F3864" w:val="clear"/>
            <w:tcMar>
              <w:top w:type="dxa" w:w="90"/>
              <w:left w:type="dxa" w:w="120"/>
              <w:bottom w:type="dxa" w:w="90"/>
              <w:right w:type="dxa" w:w="120"/>
            </w:tcMar>
            <w:vAlign w:val="center"/>
          </w:tcPr>
          <w:p>
            <w:r>
              <w:rPr>
                <w:b/>
                <w:bCs/>
                <w:color w:val="FFFFFF"/>
                <w:sz w:val="19"/>
                <w:szCs w:val="19"/>
              </w:rPr>
              <w:t xml:space="preserve">Element</w:t>
            </w:r>
          </w:p>
        </w:tc>
        <w:tc>
          <w:tcPr>
            <w:tcW w:type="dxa" w:w="3300"/>
            <w:shd w:fill="1F3864" w:val="clear"/>
            <w:tcMar>
              <w:top w:type="dxa" w:w="90"/>
              <w:left w:type="dxa" w:w="120"/>
              <w:bottom w:type="dxa" w:w="90"/>
              <w:right w:type="dxa" w:w="120"/>
            </w:tcMar>
            <w:vAlign w:val="center"/>
          </w:tcPr>
          <w:p>
            <w:r>
              <w:rPr>
                <w:b/>
                <w:bCs/>
                <w:color w:val="FFFFFF"/>
                <w:sz w:val="19"/>
                <w:szCs w:val="19"/>
              </w:rPr>
              <w:t xml:space="preserve">Problem it helps identify</w:t>
            </w:r>
          </w:p>
        </w:tc>
        <w:tc>
          <w:tcPr>
            <w:tcW w:type="dxa" w:w="3280"/>
            <w:shd w:fill="1F3864" w:val="clear"/>
            <w:tcMar>
              <w:top w:type="dxa" w:w="90"/>
              <w:left w:type="dxa" w:w="120"/>
              <w:bottom w:type="dxa" w:w="90"/>
              <w:right w:type="dxa" w:w="120"/>
            </w:tcMar>
            <w:vAlign w:val="center"/>
          </w:tcPr>
          <w:p>
            <w:r>
              <w:rPr>
                <w:b/>
                <w:bCs/>
                <w:color w:val="FFFFFF"/>
                <w:sz w:val="19"/>
                <w:szCs w:val="19"/>
              </w:rPr>
              <w:t xml:space="preserve">Decision supported</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1</w:t>
            </w:r>
          </w:p>
        </w:tc>
        <w:tc>
          <w:tcPr>
            <w:tcW w:type="dxa" w:w="3000"/>
            <w:tcMar>
              <w:top w:type="dxa" w:w="90"/>
              <w:left w:type="dxa" w:w="120"/>
              <w:bottom w:type="dxa" w:w="90"/>
              <w:right w:type="dxa" w:w="120"/>
            </w:tcMar>
            <w:vAlign w:val="center"/>
          </w:tcPr>
          <w:p>
            <w:r>
              <w:rPr>
                <w:b w:val="false"/>
                <w:bCs w:val="false"/>
                <w:color w:val="000000"/>
                <w:sz w:val="19"/>
                <w:szCs w:val="19"/>
              </w:rPr>
              <w:t xml:space="preserve">Control chart of infection rate with limits</w:t>
            </w:r>
          </w:p>
        </w:tc>
        <w:tc>
          <w:tcPr>
            <w:tcW w:type="dxa" w:w="3300"/>
            <w:tcMar>
              <w:top w:type="dxa" w:w="90"/>
              <w:left w:type="dxa" w:w="120"/>
              <w:bottom w:type="dxa" w:w="90"/>
              <w:right w:type="dxa" w:w="120"/>
            </w:tcMar>
            <w:vAlign w:val="center"/>
          </w:tcPr>
          <w:p>
            <w:r>
              <w:rPr>
                <w:b w:val="false"/>
                <w:bCs w:val="false"/>
                <w:color w:val="000000"/>
                <w:sz w:val="19"/>
                <w:szCs w:val="19"/>
              </w:rPr>
              <w:t xml:space="preserve">Whether a rise is a genuine signal or normal variation</w:t>
            </w:r>
          </w:p>
        </w:tc>
        <w:tc>
          <w:tcPr>
            <w:tcW w:type="dxa" w:w="3280"/>
            <w:tcMar>
              <w:top w:type="dxa" w:w="90"/>
              <w:left w:type="dxa" w:w="120"/>
              <w:bottom w:type="dxa" w:w="90"/>
              <w:right w:type="dxa" w:w="120"/>
            </w:tcMar>
            <w:vAlign w:val="center"/>
          </w:tcPr>
          <w:p>
            <w:r>
              <w:rPr>
                <w:b w:val="false"/>
                <w:bCs w:val="false"/>
                <w:color w:val="000000"/>
                <w:sz w:val="19"/>
                <w:szCs w:val="19"/>
              </w:rPr>
              <w:t xml:space="preserve">Trigger a root-cause investigation only when a signal appears</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2</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LOS difference from benchmark, ranked</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Departments with unusually long stays</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Prioritise discharge-process review where the gap is largest</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3</w:t>
            </w:r>
          </w:p>
        </w:tc>
        <w:tc>
          <w:tcPr>
            <w:tcW w:type="dxa" w:w="3000"/>
            <w:tcMar>
              <w:top w:type="dxa" w:w="90"/>
              <w:left w:type="dxa" w:w="120"/>
              <w:bottom w:type="dxa" w:w="90"/>
              <w:right w:type="dxa" w:w="120"/>
            </w:tcMar>
            <w:vAlign w:val="center"/>
          </w:tcPr>
          <w:p>
            <w:r>
              <w:rPr>
                <w:b w:val="false"/>
                <w:bCs w:val="false"/>
                <w:color w:val="000000"/>
                <w:sz w:val="19"/>
                <w:szCs w:val="19"/>
              </w:rPr>
              <w:t xml:space="preserve">Sepsis bundle step-down chart</w:t>
            </w:r>
          </w:p>
        </w:tc>
        <w:tc>
          <w:tcPr>
            <w:tcW w:type="dxa" w:w="3300"/>
            <w:tcMar>
              <w:top w:type="dxa" w:w="90"/>
              <w:left w:type="dxa" w:w="120"/>
              <w:bottom w:type="dxa" w:w="90"/>
              <w:right w:type="dxa" w:w="120"/>
            </w:tcMar>
            <w:vAlign w:val="center"/>
          </w:tcPr>
          <w:p>
            <w:r>
              <w:rPr>
                <w:b w:val="false"/>
                <w:bCs w:val="false"/>
                <w:color w:val="000000"/>
                <w:sz w:val="19"/>
                <w:szCs w:val="19"/>
              </w:rPr>
              <w:t xml:space="preserve">The single care step with the biggest drop-off</w:t>
            </w:r>
          </w:p>
        </w:tc>
        <w:tc>
          <w:tcPr>
            <w:tcW w:type="dxa" w:w="3280"/>
            <w:tcMar>
              <w:top w:type="dxa" w:w="90"/>
              <w:left w:type="dxa" w:w="120"/>
              <w:bottom w:type="dxa" w:w="90"/>
              <w:right w:type="dxa" w:w="120"/>
            </w:tcMar>
            <w:vAlign w:val="center"/>
          </w:tcPr>
          <w:p>
            <w:r>
              <w:rPr>
                <w:b w:val="false"/>
                <w:bCs w:val="false"/>
                <w:color w:val="000000"/>
                <w:sz w:val="19"/>
                <w:szCs w:val="19"/>
              </w:rPr>
              <w:t xml:space="preserve">Focus training and protocol change on that step</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4</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Safety indicator table with symbols</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Indicators missing targets (e.g., pressure injuries)</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Assign improvement projects and monitor against target</w:t>
            </w:r>
          </w:p>
        </w:tc>
      </w:tr>
    </w:tbl>
    <w:p>
      <w:pPr>
        <w:spacing w:after="120"/>
      </w:pPr>
    </w:p>
    <w:p>
      <w:pPr>
        <w:pStyle w:val="Heading2"/>
        <w:keepNext/>
        <w:spacing w:after="120" w:before="280"/>
      </w:pPr>
      <w:r>
        <w:rPr>
          <w:b/>
          <w:bCs/>
          <w:color w:val="0072B2"/>
          <w:sz w:val="25"/>
          <w:szCs w:val="25"/>
        </w:rPr>
        <w:t xml:space="preserve">6.3 Dashboard 3: Population Health (public-health officers and policy makers)</w:t>
      </w:r>
    </w:p>
    <w:p>
      <w:pPr>
        <w:keepNext/>
        <w:spacing w:after="80" w:before="120"/>
        <w:jc w:val="center"/>
      </w:pPr>
      <w:r>
        <w:drawing>
          <wp:inline distT="0" distB="0" distL="0" distR="0">
            <wp:extent cx="6286500" cy="3819525"/>
            <wp:effectExtent t="0" r="0" b="0" l="0"/>
            <wp:docPr id="1" name="fig4_pop.png" descr="Mock-up of a population health dashboard with an equal-sized tile map of regional vaccination coverage in four colour bands, a line chart comparing urban and rural coverage with confidence bands, and a dot plot of coverage by age and income group." title="Figure 4. Population health dashboard mock-up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819525"/>
                    </a:xfrm>
                    <a:prstGeom prst="rect">
                      <a:avLst/>
                    </a:prstGeom>
                  </pic:spPr>
                </pic:pic>
              </a:graphicData>
            </a:graphic>
          </wp:inline>
        </w:drawing>
      </w:r>
    </w:p>
    <w:p>
      <w:pPr>
        <w:spacing w:after="200"/>
        <w:jc w:val="center"/>
      </w:pPr>
      <w:r>
        <w:rPr>
          <w:i/>
          <w:iCs/>
          <w:color w:val="595959"/>
          <w:sz w:val="19"/>
          <w:szCs w:val="19"/>
        </w:rPr>
        <w:t xml:space="preserve">Figure 4. Population health dashboard mock-up (illustrative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300"/>
        <w:gridCol w:w="3280"/>
      </w:tblGrid>
      <w:tr>
        <w:trPr>
          <w:cantSplit/>
          <w:tblHeader/>
        </w:trPr>
        <w:tc>
          <w:tcPr>
            <w:tcW w:type="dxa" w:w="500"/>
            <w:shd w:fill="1F3864" w:val="clear"/>
            <w:tcMar>
              <w:top w:type="dxa" w:w="90"/>
              <w:left w:type="dxa" w:w="120"/>
              <w:bottom w:type="dxa" w:w="90"/>
              <w:right w:type="dxa" w:w="120"/>
            </w:tcMar>
            <w:vAlign w:val="center"/>
          </w:tcPr>
          <w:p>
            <w:r>
              <w:rPr>
                <w:b/>
                <w:bCs/>
                <w:color w:val="FFFFFF"/>
                <w:sz w:val="19"/>
                <w:szCs w:val="19"/>
              </w:rPr>
              <w:t xml:space="preserve">#</w:t>
            </w:r>
          </w:p>
        </w:tc>
        <w:tc>
          <w:tcPr>
            <w:tcW w:type="dxa" w:w="3000"/>
            <w:shd w:fill="1F3864" w:val="clear"/>
            <w:tcMar>
              <w:top w:type="dxa" w:w="90"/>
              <w:left w:type="dxa" w:w="120"/>
              <w:bottom w:type="dxa" w:w="90"/>
              <w:right w:type="dxa" w:w="120"/>
            </w:tcMar>
            <w:vAlign w:val="center"/>
          </w:tcPr>
          <w:p>
            <w:r>
              <w:rPr>
                <w:b/>
                <w:bCs/>
                <w:color w:val="FFFFFF"/>
                <w:sz w:val="19"/>
                <w:szCs w:val="19"/>
              </w:rPr>
              <w:t xml:space="preserve">Element</w:t>
            </w:r>
          </w:p>
        </w:tc>
        <w:tc>
          <w:tcPr>
            <w:tcW w:type="dxa" w:w="3300"/>
            <w:shd w:fill="1F3864" w:val="clear"/>
            <w:tcMar>
              <w:top w:type="dxa" w:w="90"/>
              <w:left w:type="dxa" w:w="120"/>
              <w:bottom w:type="dxa" w:w="90"/>
              <w:right w:type="dxa" w:w="120"/>
            </w:tcMar>
            <w:vAlign w:val="center"/>
          </w:tcPr>
          <w:p>
            <w:r>
              <w:rPr>
                <w:b/>
                <w:bCs/>
                <w:color w:val="FFFFFF"/>
                <w:sz w:val="19"/>
                <w:szCs w:val="19"/>
              </w:rPr>
              <w:t xml:space="preserve">Problem it helps identify</w:t>
            </w:r>
          </w:p>
        </w:tc>
        <w:tc>
          <w:tcPr>
            <w:tcW w:type="dxa" w:w="3280"/>
            <w:shd w:fill="1F3864" w:val="clear"/>
            <w:tcMar>
              <w:top w:type="dxa" w:w="90"/>
              <w:left w:type="dxa" w:w="120"/>
              <w:bottom w:type="dxa" w:w="90"/>
              <w:right w:type="dxa" w:w="120"/>
            </w:tcMar>
            <w:vAlign w:val="center"/>
          </w:tcPr>
          <w:p>
            <w:r>
              <w:rPr>
                <w:b/>
                <w:bCs/>
                <w:color w:val="FFFFFF"/>
                <w:sz w:val="19"/>
                <w:szCs w:val="19"/>
              </w:rPr>
              <w:t xml:space="preserve">Decision supported</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1</w:t>
            </w:r>
          </w:p>
        </w:tc>
        <w:tc>
          <w:tcPr>
            <w:tcW w:type="dxa" w:w="3000"/>
            <w:tcMar>
              <w:top w:type="dxa" w:w="90"/>
              <w:left w:type="dxa" w:w="120"/>
              <w:bottom w:type="dxa" w:w="90"/>
              <w:right w:type="dxa" w:w="120"/>
            </w:tcMar>
            <w:vAlign w:val="center"/>
          </w:tcPr>
          <w:p>
            <w:r>
              <w:rPr>
                <w:b w:val="false"/>
                <w:bCs w:val="false"/>
                <w:color w:val="000000"/>
                <w:sz w:val="19"/>
                <w:szCs w:val="19"/>
              </w:rPr>
              <w:t xml:space="preserve">Tile map with value labels and legend</w:t>
            </w:r>
          </w:p>
        </w:tc>
        <w:tc>
          <w:tcPr>
            <w:tcW w:type="dxa" w:w="3300"/>
            <w:tcMar>
              <w:top w:type="dxa" w:w="90"/>
              <w:left w:type="dxa" w:w="120"/>
              <w:bottom w:type="dxa" w:w="90"/>
              <w:right w:type="dxa" w:w="120"/>
            </w:tcMar>
            <w:vAlign w:val="center"/>
          </w:tcPr>
          <w:p>
            <w:r>
              <w:rPr>
                <w:b w:val="false"/>
                <w:bCs w:val="false"/>
                <w:color w:val="000000"/>
                <w:sz w:val="19"/>
                <w:szCs w:val="19"/>
              </w:rPr>
              <w:t xml:space="preserve">Regions below the coverage threshold, without large areas dominating</w:t>
            </w:r>
          </w:p>
        </w:tc>
        <w:tc>
          <w:tcPr>
            <w:tcW w:type="dxa" w:w="3280"/>
            <w:tcMar>
              <w:top w:type="dxa" w:w="90"/>
              <w:left w:type="dxa" w:w="120"/>
              <w:bottom w:type="dxa" w:w="90"/>
              <w:right w:type="dxa" w:w="120"/>
            </w:tcMar>
            <w:vAlign w:val="center"/>
          </w:tcPr>
          <w:p>
            <w:r>
              <w:rPr>
                <w:b w:val="false"/>
                <w:bCs w:val="false"/>
                <w:color w:val="000000"/>
                <w:sz w:val="19"/>
                <w:szCs w:val="19"/>
              </w:rPr>
              <w:t xml:space="preserve">Choose regions for outreach and mobile clinics</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2</w:t>
            </w:r>
          </w:p>
        </w:tc>
        <w:tc>
          <w:tcPr>
            <w:tcW w:type="dxa" w:w="3000"/>
            <w:shd w:fill="EEF4FA" w:val="clear"/>
            <w:tcMar>
              <w:top w:type="dxa" w:w="90"/>
              <w:left w:type="dxa" w:w="120"/>
              <w:bottom w:type="dxa" w:w="90"/>
              <w:right w:type="dxa" w:w="120"/>
            </w:tcMar>
            <w:vAlign w:val="center"/>
          </w:tcPr>
          <w:p>
            <w:r>
              <w:rPr>
                <w:b w:val="false"/>
                <w:bCs w:val="false"/>
                <w:color w:val="000000"/>
                <w:sz w:val="19"/>
                <w:szCs w:val="19"/>
              </w:rPr>
              <w:t xml:space="preserve">Urban vs rural lines with confidence bands</w:t>
            </w:r>
          </w:p>
        </w:tc>
        <w:tc>
          <w:tcPr>
            <w:tcW w:type="dxa" w:w="3300"/>
            <w:shd w:fill="EEF4FA" w:val="clear"/>
            <w:tcMar>
              <w:top w:type="dxa" w:w="90"/>
              <w:left w:type="dxa" w:w="120"/>
              <w:bottom w:type="dxa" w:w="90"/>
              <w:right w:type="dxa" w:w="120"/>
            </w:tcMar>
            <w:vAlign w:val="center"/>
          </w:tcPr>
          <w:p>
            <w:r>
              <w:rPr>
                <w:b w:val="false"/>
                <w:bCs w:val="false"/>
                <w:color w:val="000000"/>
                <w:sz w:val="19"/>
                <w:szCs w:val="19"/>
              </w:rPr>
              <w:t xml:space="preserve">A persistent rural gap and whether it is statistically meaningful</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Allocate resources to rural delivery</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3</w:t>
            </w:r>
          </w:p>
        </w:tc>
        <w:tc>
          <w:tcPr>
            <w:tcW w:type="dxa" w:w="3000"/>
            <w:tcMar>
              <w:top w:type="dxa" w:w="90"/>
              <w:left w:type="dxa" w:w="120"/>
              <w:bottom w:type="dxa" w:w="90"/>
              <w:right w:type="dxa" w:w="120"/>
            </w:tcMar>
            <w:vAlign w:val="center"/>
          </w:tcPr>
          <w:p>
            <w:r>
              <w:rPr>
                <w:b w:val="false"/>
                <w:bCs w:val="false"/>
                <w:color w:val="000000"/>
                <w:sz w:val="19"/>
                <w:szCs w:val="19"/>
              </w:rPr>
              <w:t xml:space="preserve">Dot plot by age and income group</w:t>
            </w:r>
          </w:p>
        </w:tc>
        <w:tc>
          <w:tcPr>
            <w:tcW w:type="dxa" w:w="3300"/>
            <w:tcMar>
              <w:top w:type="dxa" w:w="90"/>
              <w:left w:type="dxa" w:w="120"/>
              <w:bottom w:type="dxa" w:w="90"/>
              <w:right w:type="dxa" w:w="120"/>
            </w:tcMar>
            <w:vAlign w:val="center"/>
          </w:tcPr>
          <w:p>
            <w:r>
              <w:rPr>
                <w:b w:val="false"/>
                <w:bCs w:val="false"/>
                <w:color w:val="000000"/>
                <w:sz w:val="19"/>
                <w:szCs w:val="19"/>
              </w:rPr>
              <w:t xml:space="preserve">Groups with the lowest coverage</w:t>
            </w:r>
          </w:p>
        </w:tc>
        <w:tc>
          <w:tcPr>
            <w:tcW w:type="dxa" w:w="3280"/>
            <w:tcMar>
              <w:top w:type="dxa" w:w="90"/>
              <w:left w:type="dxa" w:w="120"/>
              <w:bottom w:type="dxa" w:w="90"/>
              <w:right w:type="dxa" w:w="120"/>
            </w:tcMar>
            <w:vAlign w:val="center"/>
          </w:tcPr>
          <w:p>
            <w:r>
              <w:rPr>
                <w:b w:val="false"/>
                <w:bCs w:val="false"/>
                <w:color w:val="000000"/>
                <w:sz w:val="19"/>
                <w:szCs w:val="19"/>
              </w:rPr>
              <w:t xml:space="preserve">Design targeted messaging and subsidies</w:t>
            </w:r>
          </w:p>
        </w:tc>
      </w:tr>
    </w:tbl>
    <w:p>
      <w:pPr>
        <w:spacing w:after="120"/>
      </w:pPr>
    </w:p>
    <w:p>
      <w:pPr>
        <w:pStyle w:val="Heading2"/>
        <w:keepNext/>
        <w:spacing w:after="120" w:before="280"/>
      </w:pPr>
      <w:r>
        <w:rPr>
          <w:b/>
          <w:bCs/>
          <w:color w:val="0072B2"/>
          <w:sz w:val="25"/>
          <w:szCs w:val="25"/>
        </w:rPr>
        <w:t xml:space="preserve">6.4 Report Wireframe: One-Page Monthly Briefing</w:t>
      </w:r>
    </w:p>
    <w:p>
      <w:pPr>
        <w:spacing w:after="160" w:line="276"/>
        <w:jc w:val="left"/>
      </w:pPr>
      <w:r>
        <w:rPr>
          <w:sz w:val="22"/>
          <w:szCs w:val="22"/>
        </w:rPr>
        <w:t xml:space="preserve">Not every stakeholder opens a dashboard. A one-page briefing, produced from the same data model and distributed as an accessible PDF, serves executives and committees. The layout puts the conclusion first and the evidence second.</w:t>
      </w:r>
    </w:p>
    <w:p>
      <w:pPr>
        <w:keepNext/>
        <w:spacing w:after="80" w:before="120"/>
        <w:jc w:val="center"/>
      </w:pPr>
      <w:r>
        <w:drawing>
          <wp:inline distT="0" distB="0" distL="0" distR="0">
            <wp:extent cx="4191000" cy="5172075"/>
            <wp:effectExtent t="0" r="0" b="0" l="0"/>
            <wp:docPr id="1" name="fig5_report.png" descr="Low-fidelity wireframe of a one-page monthly briefing: title bar, plain-language headline, three key measure tiles, two chart placeholders, three boxes for what changed, why it matters and recommended action, and a data notes footer." title="Figure 5. Wireframe of the one-page monthly brie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5172075"/>
                    </a:xfrm>
                    <a:prstGeom prst="rect">
                      <a:avLst/>
                    </a:prstGeom>
                  </pic:spPr>
                </pic:pic>
              </a:graphicData>
            </a:graphic>
          </wp:inline>
        </w:drawing>
      </w:r>
    </w:p>
    <w:p>
      <w:pPr>
        <w:spacing w:after="200"/>
        <w:jc w:val="center"/>
      </w:pPr>
      <w:r>
        <w:rPr>
          <w:i/>
          <w:iCs/>
          <w:color w:val="595959"/>
          <w:sz w:val="19"/>
          <w:szCs w:val="19"/>
        </w:rPr>
        <w:t xml:space="preserve">Figure 5. Wireframe of the one-page monthly briefing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780"/>
      </w:tblGrid>
      <w:tr>
        <w:trPr>
          <w:cantSplit/>
          <w:tblHeader/>
        </w:trPr>
        <w:tc>
          <w:tcPr>
            <w:tcW w:type="dxa" w:w="500"/>
            <w:shd w:fill="1F3864" w:val="clear"/>
            <w:tcMar>
              <w:top w:type="dxa" w:w="90"/>
              <w:left w:type="dxa" w:w="120"/>
              <w:bottom w:type="dxa" w:w="90"/>
              <w:right w:type="dxa" w:w="120"/>
            </w:tcMar>
            <w:vAlign w:val="center"/>
          </w:tcPr>
          <w:p>
            <w:r>
              <w:rPr>
                <w:b/>
                <w:bCs/>
                <w:color w:val="FFFFFF"/>
                <w:sz w:val="19"/>
                <w:szCs w:val="19"/>
              </w:rPr>
              <w:t xml:space="preserve">#</w:t>
            </w:r>
          </w:p>
        </w:tc>
        <w:tc>
          <w:tcPr>
            <w:tcW w:type="dxa" w:w="3800"/>
            <w:shd w:fill="1F3864" w:val="clear"/>
            <w:tcMar>
              <w:top w:type="dxa" w:w="90"/>
              <w:left w:type="dxa" w:w="120"/>
              <w:bottom w:type="dxa" w:w="90"/>
              <w:right w:type="dxa" w:w="120"/>
            </w:tcMar>
            <w:vAlign w:val="center"/>
          </w:tcPr>
          <w:p>
            <w:r>
              <w:rPr>
                <w:b/>
                <w:bCs/>
                <w:color w:val="FFFFFF"/>
                <w:sz w:val="19"/>
                <w:szCs w:val="19"/>
              </w:rPr>
              <w:t xml:space="preserve">Section</w:t>
            </w:r>
          </w:p>
        </w:tc>
        <w:tc>
          <w:tcPr>
            <w:tcW w:type="dxa" w:w="5780"/>
            <w:shd w:fill="1F3864" w:val="clear"/>
            <w:tcMar>
              <w:top w:type="dxa" w:w="90"/>
              <w:left w:type="dxa" w:w="120"/>
              <w:bottom w:type="dxa" w:w="90"/>
              <w:right w:type="dxa" w:w="120"/>
            </w:tcMar>
            <w:vAlign w:val="center"/>
          </w:tcPr>
          <w:p>
            <w:r>
              <w:rPr>
                <w:b/>
                <w:bCs/>
                <w:color w:val="FFFFFF"/>
                <w:sz w:val="19"/>
                <w:szCs w:val="19"/>
              </w:rPr>
              <w:t xml:space="preserve">Purpose</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1</w:t>
            </w:r>
          </w:p>
        </w:tc>
        <w:tc>
          <w:tcPr>
            <w:tcW w:type="dxa" w:w="3800"/>
            <w:tcMar>
              <w:top w:type="dxa" w:w="90"/>
              <w:left w:type="dxa" w:w="120"/>
              <w:bottom w:type="dxa" w:w="90"/>
              <w:right w:type="dxa" w:w="120"/>
            </w:tcMar>
            <w:vAlign w:val="center"/>
          </w:tcPr>
          <w:p>
            <w:r>
              <w:rPr>
                <w:b w:val="false"/>
                <w:bCs w:val="false"/>
                <w:color w:val="000000"/>
                <w:sz w:val="19"/>
                <w:szCs w:val="19"/>
              </w:rPr>
              <w:t xml:space="preserve">Title bar</w:t>
            </w:r>
          </w:p>
        </w:tc>
        <w:tc>
          <w:tcPr>
            <w:tcW w:type="dxa" w:w="5780"/>
            <w:tcMar>
              <w:top w:type="dxa" w:w="90"/>
              <w:left w:type="dxa" w:w="120"/>
              <w:bottom w:type="dxa" w:w="90"/>
              <w:right w:type="dxa" w:w="120"/>
            </w:tcMar>
            <w:vAlign w:val="center"/>
          </w:tcPr>
          <w:p>
            <w:r>
              <w:rPr>
                <w:b w:val="false"/>
                <w:bCs w:val="false"/>
                <w:color w:val="000000"/>
                <w:sz w:val="19"/>
                <w:szCs w:val="19"/>
              </w:rPr>
              <w:t xml:space="preserve">Names the report and period</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2</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Headline sentence</w:t>
            </w:r>
          </w:p>
        </w:tc>
        <w:tc>
          <w:tcPr>
            <w:tcW w:type="dxa" w:w="5780"/>
            <w:shd w:fill="EEF4FA" w:val="clear"/>
            <w:tcMar>
              <w:top w:type="dxa" w:w="90"/>
              <w:left w:type="dxa" w:w="120"/>
              <w:bottom w:type="dxa" w:w="90"/>
              <w:right w:type="dxa" w:w="120"/>
            </w:tcMar>
            <w:vAlign w:val="center"/>
          </w:tcPr>
          <w:p>
            <w:r>
              <w:rPr>
                <w:b w:val="false"/>
                <w:bCs w:val="false"/>
                <w:color w:val="000000"/>
                <w:sz w:val="19"/>
                <w:szCs w:val="19"/>
              </w:rPr>
              <w:t xml:space="preserve">States the single most important finding in plain language</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3</w:t>
            </w:r>
          </w:p>
        </w:tc>
        <w:tc>
          <w:tcPr>
            <w:tcW w:type="dxa" w:w="3800"/>
            <w:tcMar>
              <w:top w:type="dxa" w:w="90"/>
              <w:left w:type="dxa" w:w="120"/>
              <w:bottom w:type="dxa" w:w="90"/>
              <w:right w:type="dxa" w:w="120"/>
            </w:tcMar>
            <w:vAlign w:val="center"/>
          </w:tcPr>
          <w:p>
            <w:r>
              <w:rPr>
                <w:b w:val="false"/>
                <w:bCs w:val="false"/>
                <w:color w:val="000000"/>
                <w:sz w:val="19"/>
                <w:szCs w:val="19"/>
              </w:rPr>
              <w:t xml:space="preserve">Three key measure tiles</w:t>
            </w:r>
          </w:p>
        </w:tc>
        <w:tc>
          <w:tcPr>
            <w:tcW w:type="dxa" w:w="5780"/>
            <w:tcMar>
              <w:top w:type="dxa" w:w="90"/>
              <w:left w:type="dxa" w:w="120"/>
              <w:bottom w:type="dxa" w:w="90"/>
              <w:right w:type="dxa" w:w="120"/>
            </w:tcMar>
            <w:vAlign w:val="center"/>
          </w:tcPr>
          <w:p>
            <w:r>
              <w:rPr>
                <w:b w:val="false"/>
                <w:bCs w:val="false"/>
                <w:color w:val="000000"/>
                <w:sz w:val="19"/>
                <w:szCs w:val="19"/>
              </w:rPr>
              <w:t xml:space="preserve">Immediate status of the most important indicators</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4</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Charts (trend and ranked comparison)</w:t>
            </w:r>
          </w:p>
        </w:tc>
        <w:tc>
          <w:tcPr>
            <w:tcW w:type="dxa" w:w="5780"/>
            <w:shd w:fill="EEF4FA" w:val="clear"/>
            <w:tcMar>
              <w:top w:type="dxa" w:w="90"/>
              <w:left w:type="dxa" w:w="120"/>
              <w:bottom w:type="dxa" w:w="90"/>
              <w:right w:type="dxa" w:w="120"/>
            </w:tcMar>
            <w:vAlign w:val="center"/>
          </w:tcPr>
          <w:p>
            <w:r>
              <w:rPr>
                <w:b w:val="false"/>
                <w:bCs w:val="false"/>
                <w:color w:val="000000"/>
                <w:sz w:val="19"/>
                <w:szCs w:val="19"/>
              </w:rPr>
              <w:t xml:space="preserve">Evidence for the headline, each with an annotated takeaway</w:t>
            </w:r>
          </w:p>
        </w:tc>
      </w:tr>
      <w:tr>
        <w:trPr>
          <w:cantSplit/>
        </w:trPr>
        <w:tc>
          <w:tcPr>
            <w:tcW w:type="dxa" w:w="500"/>
            <w:tcMar>
              <w:top w:type="dxa" w:w="90"/>
              <w:left w:type="dxa" w:w="120"/>
              <w:bottom w:type="dxa" w:w="90"/>
              <w:right w:type="dxa" w:w="120"/>
            </w:tcMar>
            <w:vAlign w:val="center"/>
          </w:tcPr>
          <w:p>
            <w:r>
              <w:rPr>
                <w:b/>
                <w:bCs/>
                <w:color w:val="000000"/>
                <w:sz w:val="19"/>
                <w:szCs w:val="19"/>
              </w:rPr>
              <w:t xml:space="preserve">5</w:t>
            </w:r>
          </w:p>
        </w:tc>
        <w:tc>
          <w:tcPr>
            <w:tcW w:type="dxa" w:w="3800"/>
            <w:tcMar>
              <w:top w:type="dxa" w:w="90"/>
              <w:left w:type="dxa" w:w="120"/>
              <w:bottom w:type="dxa" w:w="90"/>
              <w:right w:type="dxa" w:w="120"/>
            </w:tcMar>
            <w:vAlign w:val="center"/>
          </w:tcPr>
          <w:p>
            <w:r>
              <w:rPr>
                <w:b w:val="false"/>
                <w:bCs w:val="false"/>
                <w:color w:val="000000"/>
                <w:sz w:val="19"/>
                <w:szCs w:val="19"/>
              </w:rPr>
              <w:t xml:space="preserve">What changed / Why it matters / Recommended action</w:t>
            </w:r>
          </w:p>
        </w:tc>
        <w:tc>
          <w:tcPr>
            <w:tcW w:type="dxa" w:w="5780"/>
            <w:tcMar>
              <w:top w:type="dxa" w:w="90"/>
              <w:left w:type="dxa" w:w="120"/>
              <w:bottom w:type="dxa" w:w="90"/>
              <w:right w:type="dxa" w:w="120"/>
            </w:tcMar>
            <w:vAlign w:val="center"/>
          </w:tcPr>
          <w:p>
            <w:r>
              <w:rPr>
                <w:b w:val="false"/>
                <w:bCs w:val="false"/>
                <w:color w:val="000000"/>
                <w:sz w:val="19"/>
                <w:szCs w:val="19"/>
              </w:rPr>
              <w:t xml:space="preserve">Moves the reader from information to a named owner and deadline</w:t>
            </w:r>
          </w:p>
        </w:tc>
      </w:tr>
      <w:tr>
        <w:trPr>
          <w:cantSplit/>
        </w:trPr>
        <w:tc>
          <w:tcPr>
            <w:tcW w:type="dxa" w:w="500"/>
            <w:shd w:fill="EEF4FA" w:val="clear"/>
            <w:tcMar>
              <w:top w:type="dxa" w:w="90"/>
              <w:left w:type="dxa" w:w="120"/>
              <w:bottom w:type="dxa" w:w="90"/>
              <w:right w:type="dxa" w:w="120"/>
            </w:tcMar>
            <w:vAlign w:val="center"/>
          </w:tcPr>
          <w:p>
            <w:r>
              <w:rPr>
                <w:b/>
                <w:bCs/>
                <w:color w:val="000000"/>
                <w:sz w:val="19"/>
                <w:szCs w:val="19"/>
              </w:rPr>
              <w:t xml:space="preserve">6</w:t>
            </w:r>
          </w:p>
        </w:tc>
        <w:tc>
          <w:tcPr>
            <w:tcW w:type="dxa" w:w="3800"/>
            <w:shd w:fill="EEF4FA" w:val="clear"/>
            <w:tcMar>
              <w:top w:type="dxa" w:w="90"/>
              <w:left w:type="dxa" w:w="120"/>
              <w:bottom w:type="dxa" w:w="90"/>
              <w:right w:type="dxa" w:w="120"/>
            </w:tcMar>
            <w:vAlign w:val="center"/>
          </w:tcPr>
          <w:p>
            <w:r>
              <w:rPr>
                <w:b w:val="false"/>
                <w:bCs w:val="false"/>
                <w:color w:val="000000"/>
                <w:sz w:val="19"/>
                <w:szCs w:val="19"/>
              </w:rPr>
              <w:t xml:space="preserve">Data notes</w:t>
            </w:r>
          </w:p>
        </w:tc>
        <w:tc>
          <w:tcPr>
            <w:tcW w:type="dxa" w:w="5780"/>
            <w:shd w:fill="EEF4FA" w:val="clear"/>
            <w:tcMar>
              <w:top w:type="dxa" w:w="90"/>
              <w:left w:type="dxa" w:w="120"/>
              <w:bottom w:type="dxa" w:w="90"/>
              <w:right w:type="dxa" w:w="120"/>
            </w:tcMar>
            <w:vAlign w:val="center"/>
          </w:tcPr>
          <w:p>
            <w:r>
              <w:rPr>
                <w:b w:val="false"/>
                <w:bCs w:val="false"/>
                <w:color w:val="000000"/>
                <w:sz w:val="19"/>
                <w:szCs w:val="19"/>
              </w:rPr>
              <w:t xml:space="preserve">Source, definitions, refresh date, suppression rules and a contact point, supporting trust and reproducibility</w:t>
            </w:r>
          </w:p>
        </w:tc>
      </w:tr>
    </w:tbl>
    <w:p>
      <w:pPr>
        <w:spacing w:after="120"/>
      </w:pPr>
    </w:p>
    <w:p>
      <w:pPr>
        <w:pStyle w:val="Heading1"/>
        <w:keepNext/>
        <w:pBdr>
          <w:bottom w:val="single" w:color="0072B2" w:sz="6" w:space="4"/>
        </w:pBdr>
        <w:spacing w:after="160" w:before="360"/>
      </w:pPr>
      <w:r>
        <w:rPr>
          <w:b/>
          <w:bCs/>
          <w:color w:val="1F3864"/>
          <w:sz w:val="30"/>
          <w:szCs w:val="30"/>
        </w:rPr>
        <w:t xml:space="preserve">7. User-Centric Design and Accessibility</w:t>
      </w:r>
    </w:p>
    <w:p>
      <w:pPr>
        <w:pStyle w:val="Heading2"/>
        <w:keepNext/>
        <w:spacing w:after="120" w:before="280"/>
      </w:pPr>
      <w:r>
        <w:rPr>
          <w:b/>
          <w:bCs/>
          <w:color w:val="0072B2"/>
          <w:sz w:val="25"/>
          <w:szCs w:val="25"/>
        </w:rPr>
        <w:t xml:space="preserve">7.1 Design with Users, Not for Them</w:t>
      </w:r>
    </w:p>
    <w:p>
      <w:pPr>
        <w:pStyle w:val="ListParagraph"/>
        <w:numPr>
          <w:ilvl w:val="0"/>
          <w:numId w:val="3"/>
        </w:numPr>
        <w:spacing w:after="90" w:line="276"/>
      </w:pPr>
      <w:r>
        <w:rPr>
          <w:sz w:val="22"/>
          <w:szCs w:val="22"/>
        </w:rPr>
        <w:t xml:space="preserve">Interview two to three representatives of each persona to list the decisions they make and the questions they ask, in their own words.</w:t>
      </w:r>
    </w:p>
    <w:p>
      <w:pPr>
        <w:pStyle w:val="ListParagraph"/>
        <w:numPr>
          <w:ilvl w:val="0"/>
          <w:numId w:val="3"/>
        </w:numPr>
        <w:spacing w:after="90" w:line="276"/>
      </w:pPr>
      <w:r>
        <w:rPr>
          <w:sz w:val="22"/>
          <w:szCs w:val="22"/>
        </w:rPr>
        <w:t xml:space="preserve">Draw paper wireframes and run short walk-throughs: users point to where they would look to answer a question.</w:t>
      </w:r>
    </w:p>
    <w:p>
      <w:pPr>
        <w:pStyle w:val="ListParagraph"/>
        <w:numPr>
          <w:ilvl w:val="0"/>
          <w:numId w:val="3"/>
        </w:numPr>
        <w:spacing w:after="90" w:line="276"/>
      </w:pPr>
      <w:r>
        <w:rPr>
          <w:sz w:val="22"/>
          <w:szCs w:val="22"/>
        </w:rPr>
        <w:t xml:space="preserve">Build a Power BI prototype with realistic data and run task-based usability sessions with about five participants per persona.</w:t>
      </w:r>
    </w:p>
    <w:p>
      <w:pPr>
        <w:pStyle w:val="ListParagraph"/>
        <w:numPr>
          <w:ilvl w:val="0"/>
          <w:numId w:val="3"/>
        </w:numPr>
        <w:spacing w:after="90" w:line="276"/>
      </w:pPr>
      <w:r>
        <w:rPr>
          <w:sz w:val="22"/>
          <w:szCs w:val="22"/>
        </w:rPr>
        <w:t xml:space="preserve">Measure success with task completion, time to find the answer, errors, and a System Usability Scale (SUS) score (Brooke, 1996); revise and repeat.</w:t>
      </w:r>
    </w:p>
    <w:p>
      <w:pPr>
        <w:pStyle w:val="ListParagraph"/>
        <w:numPr>
          <w:ilvl w:val="0"/>
          <w:numId w:val="3"/>
        </w:numPr>
        <w:spacing w:after="90" w:line="276"/>
      </w:pPr>
      <w:r>
        <w:rPr>
          <w:sz w:val="22"/>
          <w:szCs w:val="22"/>
        </w:rPr>
        <w:t xml:space="preserve">After release, review usage statistics and collect feedback monthly; retire visuals nobody uses.</w:t>
      </w:r>
    </w:p>
    <w:p>
      <w:pPr>
        <w:pStyle w:val="Heading2"/>
        <w:keepNext/>
        <w:spacing w:after="120" w:before="280"/>
      </w:pPr>
      <w:r>
        <w:rPr>
          <w:b/>
          <w:bCs/>
          <w:color w:val="0072B2"/>
          <w:sz w:val="25"/>
          <w:szCs w:val="25"/>
        </w:rPr>
        <w:t xml:space="preserve">7.2 Accessibility Requirements</w:t>
      </w:r>
    </w:p>
    <w:p>
      <w:pPr>
        <w:spacing w:after="160" w:line="276"/>
        <w:jc w:val="left"/>
      </w:pPr>
      <w:r>
        <w:rPr>
          <w:sz w:val="22"/>
          <w:szCs w:val="22"/>
        </w:rPr>
        <w:t xml:space="preserve">The requirements below follow the Web Content Accessibility Guidelines (WCAG) 2.1, level AA, and the colour-universal-design approach of Okabe and Ito (2008).</w:t>
      </w:r>
    </w:p>
    <w:p>
      <w:pPr>
        <w:keepNext/>
        <w:spacing w:after="80" w:before="120"/>
        <w:jc w:val="center"/>
      </w:pPr>
      <w:r>
        <w:drawing>
          <wp:inline distT="0" distB="0" distL="0" distR="0">
            <wp:extent cx="6286500" cy="2171700"/>
            <wp:effectExtent t="0" r="0" b="0" l="0"/>
            <wp:docPr id="1" name="fig6_palette.png" descr="Colour swatches of a colour-blind-safe palette: blue for on target with a circle, orange for watch with a triangle, vermillion for needs action with a square, plus sky blue, green and dark grey for supporting uses." title="Figure 6. Colour-blind-safe palette with redundant shape c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171700"/>
                    </a:xfrm>
                    <a:prstGeom prst="rect">
                      <a:avLst/>
                    </a:prstGeom>
                  </pic:spPr>
                </pic:pic>
              </a:graphicData>
            </a:graphic>
          </wp:inline>
        </w:drawing>
      </w:r>
    </w:p>
    <w:p>
      <w:pPr>
        <w:spacing w:after="200"/>
        <w:jc w:val="center"/>
      </w:pPr>
      <w:r>
        <w:rPr>
          <w:i/>
          <w:iCs/>
          <w:color w:val="595959"/>
          <w:sz w:val="19"/>
          <w:szCs w:val="19"/>
        </w:rPr>
        <w:t xml:space="preserve">Figure 6. Colour-blind-safe palette with redundant shape cues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cantSplit/>
          <w:tblHeader/>
        </w:trPr>
        <w:tc>
          <w:tcPr>
            <w:tcW w:type="dxa" w:w="3500"/>
            <w:shd w:fill="1F3864" w:val="clear"/>
            <w:tcMar>
              <w:top w:type="dxa" w:w="90"/>
              <w:left w:type="dxa" w:w="120"/>
              <w:bottom w:type="dxa" w:w="90"/>
              <w:right w:type="dxa" w:w="120"/>
            </w:tcMar>
            <w:vAlign w:val="center"/>
          </w:tcPr>
          <w:p>
            <w:r>
              <w:rPr>
                <w:b/>
                <w:bCs/>
                <w:color w:val="FFFFFF"/>
                <w:sz w:val="19"/>
                <w:szCs w:val="19"/>
              </w:rPr>
              <w:t xml:space="preserve">Requirement</w:t>
            </w:r>
          </w:p>
        </w:tc>
        <w:tc>
          <w:tcPr>
            <w:tcW w:type="dxa" w:w="6580"/>
            <w:shd w:fill="1F3864" w:val="clear"/>
            <w:tcMar>
              <w:top w:type="dxa" w:w="90"/>
              <w:left w:type="dxa" w:w="120"/>
              <w:bottom w:type="dxa" w:w="90"/>
              <w:right w:type="dxa" w:w="120"/>
            </w:tcMar>
            <w:vAlign w:val="center"/>
          </w:tcPr>
          <w:p>
            <w:r>
              <w:rPr>
                <w:b/>
                <w:bCs/>
                <w:color w:val="FFFFFF"/>
                <w:sz w:val="19"/>
                <w:szCs w:val="19"/>
              </w:rPr>
              <w:t xml:space="preserve">How it is met in this plan</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Do not rely on colour alone (WCAG 1.4.1)</w:t>
            </w:r>
          </w:p>
        </w:tc>
        <w:tc>
          <w:tcPr>
            <w:tcW w:type="dxa" w:w="6580"/>
            <w:tcMar>
              <w:top w:type="dxa" w:w="90"/>
              <w:left w:type="dxa" w:w="120"/>
              <w:bottom w:type="dxa" w:w="90"/>
              <w:right w:type="dxa" w:w="120"/>
            </w:tcMar>
            <w:vAlign w:val="center"/>
          </w:tcPr>
          <w:p>
            <w:r>
              <w:rPr>
                <w:b w:val="false"/>
                <w:bCs w:val="false"/>
                <w:color w:val="000000"/>
                <w:sz w:val="19"/>
                <w:szCs w:val="19"/>
              </w:rPr>
              <w:t xml:space="preserve">Status is shown by colour, shape (circle, triangle, square) and text label; lines differ by dash style and marker</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Text contrast of at least 4.5:1 (WCAG 1.4.3)</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Dark text on white or very light grey; white text only on dark blue or vermillion fills; contrast verified with a checker</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Graphics contrast of at least 3:1 (WCAG 1.4.11)</w:t>
            </w:r>
          </w:p>
        </w:tc>
        <w:tc>
          <w:tcPr>
            <w:tcW w:type="dxa" w:w="6580"/>
            <w:tcMar>
              <w:top w:type="dxa" w:w="90"/>
              <w:left w:type="dxa" w:w="120"/>
              <w:bottom w:type="dxa" w:w="90"/>
              <w:right w:type="dxa" w:w="120"/>
            </w:tcMar>
            <w:vAlign w:val="center"/>
          </w:tcPr>
          <w:p>
            <w:r>
              <w:rPr>
                <w:b w:val="false"/>
                <w:bCs w:val="false"/>
                <w:color w:val="000000"/>
                <w:sz w:val="19"/>
                <w:szCs w:val="19"/>
              </w:rPr>
              <w:t xml:space="preserve">Palette chosen for distinct luminance; chart lines at least 2 pt; gridlines kept light but never the only cue</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Colour-blind-safe palette</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Okabe-Ito colours; no red-green pairings; sequential scales use a single-hue blue ramp</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Screen-reader access</w:t>
            </w:r>
          </w:p>
        </w:tc>
        <w:tc>
          <w:tcPr>
            <w:tcW w:type="dxa" w:w="6580"/>
            <w:tcMar>
              <w:top w:type="dxa" w:w="90"/>
              <w:left w:type="dxa" w:w="120"/>
              <w:bottom w:type="dxa" w:w="90"/>
              <w:right w:type="dxa" w:w="120"/>
            </w:tcMar>
            <w:vAlign w:val="center"/>
          </w:tcPr>
          <w:p>
            <w:r>
              <w:rPr>
                <w:b w:val="false"/>
                <w:bCs w:val="false"/>
                <w:color w:val="000000"/>
                <w:sz w:val="19"/>
                <w:szCs w:val="19"/>
              </w:rPr>
              <w:t xml:space="preserve">Alt text on every visual describing the finding; meaningful reading order and tab order; a ‘show as table’ view for each chart</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Keyboard operation</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All filters and drill-downs reachable without a mouse; visible focus indicator</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Readable text</w:t>
            </w:r>
          </w:p>
        </w:tc>
        <w:tc>
          <w:tcPr>
            <w:tcW w:type="dxa" w:w="6580"/>
            <w:tcMar>
              <w:top w:type="dxa" w:w="90"/>
              <w:left w:type="dxa" w:w="120"/>
              <w:bottom w:type="dxa" w:w="90"/>
              <w:right w:type="dxa" w:w="120"/>
            </w:tcMar>
            <w:vAlign w:val="center"/>
          </w:tcPr>
          <w:p>
            <w:r>
              <w:rPr>
                <w:b w:val="false"/>
                <w:bCs w:val="false"/>
                <w:color w:val="000000"/>
                <w:sz w:val="19"/>
                <w:szCs w:val="19"/>
              </w:rPr>
              <w:t xml:space="preserve">Minimum 12 pt body text on dashboards; titles in sentence case; no text embedded in images</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Plain language</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Headline titles state the finding; abbreviations spelled out on first use; glossary link for each metric</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Responsive layout</w:t>
            </w:r>
          </w:p>
        </w:tc>
        <w:tc>
          <w:tcPr>
            <w:tcW w:type="dxa" w:w="6580"/>
            <w:tcMar>
              <w:top w:type="dxa" w:w="90"/>
              <w:left w:type="dxa" w:w="120"/>
              <w:bottom w:type="dxa" w:w="90"/>
              <w:right w:type="dxa" w:w="120"/>
            </w:tcMar>
            <w:vAlign w:val="center"/>
          </w:tcPr>
          <w:p>
            <w:r>
              <w:rPr>
                <w:b w:val="false"/>
                <w:bCs w:val="false"/>
                <w:color w:val="000000"/>
                <w:sz w:val="19"/>
                <w:szCs w:val="19"/>
              </w:rPr>
              <w:t xml:space="preserve">Mobile view with KPI tiles stacked first; fewer, larger visuals on small screens</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Reduced motion</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No auto-playing animation; transitions off by default</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Accessible documents</w:t>
            </w:r>
          </w:p>
        </w:tc>
        <w:tc>
          <w:tcPr>
            <w:tcW w:type="dxa" w:w="6580"/>
            <w:tcMar>
              <w:top w:type="dxa" w:w="90"/>
              <w:left w:type="dxa" w:w="120"/>
              <w:bottom w:type="dxa" w:w="90"/>
              <w:right w:type="dxa" w:w="120"/>
            </w:tcMar>
            <w:vAlign w:val="center"/>
          </w:tcPr>
          <w:p>
            <w:r>
              <w:rPr>
                <w:b w:val="false"/>
                <w:bCs w:val="false"/>
                <w:color w:val="000000"/>
                <w:sz w:val="19"/>
                <w:szCs w:val="19"/>
              </w:rPr>
              <w:t xml:space="preserve">Briefings exported as tagged PDFs with alt text, headings and a logical reading order</w:t>
            </w:r>
          </w:p>
        </w:tc>
      </w:tr>
    </w:tbl>
    <w:p>
      <w:pPr>
        <w:spacing w:after="120"/>
      </w:pPr>
    </w:p>
    <w:p>
      <w:pPr>
        <w:pStyle w:val="Heading1"/>
        <w:keepNext/>
        <w:pBdr>
          <w:bottom w:val="single" w:color="0072B2" w:sz="6" w:space="4"/>
        </w:pBdr>
        <w:spacing w:after="160" w:before="360"/>
      </w:pPr>
      <w:r>
        <w:rPr>
          <w:b/>
          <w:bCs/>
          <w:color w:val="1F3864"/>
          <w:sz w:val="30"/>
          <w:szCs w:val="30"/>
        </w:rPr>
        <w:t xml:space="preserve">8. Communication Plan for Non-Technical Stakeholders</w:t>
      </w:r>
    </w:p>
    <w:p>
      <w:pPr>
        <w:pStyle w:val="Heading2"/>
        <w:keepNext/>
        <w:spacing w:after="120" w:before="280"/>
      </w:pPr>
      <w:r>
        <w:rPr>
          <w:b/>
          <w:bCs/>
          <w:color w:val="0072B2"/>
          <w:sz w:val="25"/>
          <w:szCs w:val="25"/>
        </w:rPr>
        <w:t xml:space="preserve">8.1 Storytelling Structure</w:t>
      </w:r>
    </w:p>
    <w:p>
      <w:pPr>
        <w:spacing w:after="160" w:line="276"/>
        <w:jc w:val="left"/>
      </w:pPr>
      <w:r>
        <w:rPr>
          <w:sz w:val="22"/>
          <w:szCs w:val="22"/>
        </w:rPr>
        <w:t xml:space="preserve">Each dashboard page and report follows the same narrative sequence, adapted from guidance on storytelling with data (Knaflic, 2015): context (what are we looking at and for which period), finding (what changed), meaning (why it matters for patients, safety or cost), and action (what to do, who owns it, by when). The headline sentence, annotation and action panel in the mock-ups implement this sequence.</w:t>
      </w:r>
    </w:p>
    <w:p>
      <w:pPr>
        <w:pStyle w:val="Heading2"/>
        <w:keepNext/>
        <w:spacing w:after="120" w:before="280"/>
      </w:pPr>
      <w:r>
        <w:rPr>
          <w:b/>
          <w:bCs/>
          <w:color w:val="0072B2"/>
          <w:sz w:val="25"/>
          <w:szCs w:val="25"/>
        </w:rPr>
        <w:t xml:space="preserve">8.2 Worked Example</w:t>
      </w:r>
    </w:p>
    <w:p>
      <w:pPr>
        <w:spacing w:after="160" w:line="276"/>
        <w:jc w:val="left"/>
      </w:pPr>
      <w:r>
        <w:rPr>
          <w:sz w:val="22"/>
          <w:szCs w:val="22"/>
        </w:rPr>
        <w:t xml:space="preserve">Raw data: a table of discharges with admission and discharge dates, ward and a readmission flag. After cleaning and modelling, the 30-day readmission rate is calculated monthly and compared with a target. Instead of a table of 12 percentages, the executive sees a line chart titled “Readmissions have risen for three months in a row,” a dashed target line, and a highlighted final point. The attention panel adds “Review discharge process on the Medical ward.” A ward manager clicks through and sees which discharge days and patient groups account for the rise. The insight moves from a number to a named problem to an assigned action without anyone writing a query.</w:t>
      </w:r>
    </w:p>
    <w:p>
      <w:pPr>
        <w:pStyle w:val="Heading2"/>
        <w:keepNext/>
        <w:spacing w:after="120" w:before="280"/>
      </w:pPr>
      <w:r>
        <w:rPr>
          <w:b/>
          <w:bCs/>
          <w:color w:val="0072B2"/>
          <w:sz w:val="25"/>
          <w:szCs w:val="25"/>
        </w:rPr>
        <w:t xml:space="preserve">8.3 Delivery Channels</w:t>
      </w:r>
    </w:p>
    <w:p>
      <w:pPr>
        <w:pStyle w:val="ListParagraph"/>
        <w:numPr>
          <w:ilvl w:val="0"/>
          <w:numId w:val="2"/>
        </w:numPr>
        <w:spacing w:after="90" w:line="276"/>
      </w:pPr>
      <w:r>
        <w:rPr>
          <w:sz w:val="22"/>
          <w:szCs w:val="22"/>
        </w:rPr>
        <w:t xml:space="preserve">Interactive dashboard for regular use, with role-based views.</w:t>
      </w:r>
    </w:p>
    <w:p>
      <w:pPr>
        <w:pStyle w:val="ListParagraph"/>
        <w:numPr>
          <w:ilvl w:val="0"/>
          <w:numId w:val="2"/>
        </w:numPr>
        <w:spacing w:after="90" w:line="276"/>
      </w:pPr>
      <w:r>
        <w:rPr>
          <w:sz w:val="22"/>
          <w:szCs w:val="22"/>
        </w:rPr>
        <w:t xml:space="preserve">One-page monthly briefing (accessible PDF) for committees.</w:t>
      </w:r>
    </w:p>
    <w:p>
      <w:pPr>
        <w:pStyle w:val="ListParagraph"/>
        <w:numPr>
          <w:ilvl w:val="0"/>
          <w:numId w:val="2"/>
        </w:numPr>
        <w:spacing w:after="90" w:line="276"/>
      </w:pPr>
      <w:r>
        <w:rPr>
          <w:sz w:val="22"/>
          <w:szCs w:val="22"/>
        </w:rPr>
        <w:t xml:space="preserve">Short walk-through session at launch and a one-page ‘how to read this dashboard’ guide.</w:t>
      </w:r>
    </w:p>
    <w:p>
      <w:pPr>
        <w:pStyle w:val="ListParagraph"/>
        <w:numPr>
          <w:ilvl w:val="0"/>
          <w:numId w:val="2"/>
        </w:numPr>
        <w:spacing w:after="90" w:line="276"/>
      </w:pPr>
      <w:r>
        <w:rPr>
          <w:sz w:val="22"/>
          <w:szCs w:val="22"/>
        </w:rPr>
        <w:t xml:space="preserve">Alerts or subscriptions for metrics crossing a threshold, so users are not required to check daily.</w:t>
      </w:r>
    </w:p>
    <w:p>
      <w:pPr>
        <w:pStyle w:val="Heading1"/>
        <w:keepNext/>
        <w:pBdr>
          <w:bottom w:val="single" w:color="0072B2" w:sz="6" w:space="4"/>
        </w:pBdr>
        <w:spacing w:after="160" w:before="360"/>
      </w:pPr>
      <w:r>
        <w:rPr>
          <w:b/>
          <w:bCs/>
          <w:color w:val="1F3864"/>
          <w:sz w:val="30"/>
          <w:szCs w:val="30"/>
        </w:rPr>
        <w:t xml:space="preserve">9. Data Governance, Privacy and Risk Considerations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cantSplit/>
          <w:tblHeader/>
        </w:trPr>
        <w:tc>
          <w:tcPr>
            <w:tcW w:type="dxa" w:w="3500"/>
            <w:shd w:fill="1F3864" w:val="clear"/>
            <w:tcMar>
              <w:top w:type="dxa" w:w="90"/>
              <w:left w:type="dxa" w:w="120"/>
              <w:bottom w:type="dxa" w:w="90"/>
              <w:right w:type="dxa" w:w="120"/>
            </w:tcMar>
            <w:vAlign w:val="center"/>
          </w:tcPr>
          <w:p>
            <w:r>
              <w:rPr>
                <w:b/>
                <w:bCs/>
                <w:color w:val="FFFFFF"/>
                <w:sz w:val="19"/>
                <w:szCs w:val="19"/>
              </w:rPr>
              <w:t xml:space="preserve">Risk</w:t>
            </w:r>
          </w:p>
        </w:tc>
        <w:tc>
          <w:tcPr>
            <w:tcW w:type="dxa" w:w="6580"/>
            <w:shd w:fill="1F3864" w:val="clear"/>
            <w:tcMar>
              <w:top w:type="dxa" w:w="90"/>
              <w:left w:type="dxa" w:w="120"/>
              <w:bottom w:type="dxa" w:w="90"/>
              <w:right w:type="dxa" w:w="120"/>
            </w:tcMar>
            <w:vAlign w:val="center"/>
          </w:tcPr>
          <w:p>
            <w:r>
              <w:rPr>
                <w:b/>
                <w:bCs/>
                <w:color w:val="FFFFFF"/>
                <w:sz w:val="19"/>
                <w:szCs w:val="19"/>
              </w:rPr>
              <w:t xml:space="preserve">Mitigation in the visualization design</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Re-identification from small numbers or detailed filters</w:t>
            </w:r>
          </w:p>
        </w:tc>
        <w:tc>
          <w:tcPr>
            <w:tcW w:type="dxa" w:w="6580"/>
            <w:tcMar>
              <w:top w:type="dxa" w:w="90"/>
              <w:left w:type="dxa" w:w="120"/>
              <w:bottom w:type="dxa" w:w="90"/>
              <w:right w:type="dxa" w:w="120"/>
            </w:tcMar>
            <w:vAlign w:val="center"/>
          </w:tcPr>
          <w:p>
            <w:r>
              <w:rPr>
                <w:b w:val="false"/>
                <w:bCs w:val="false"/>
                <w:color w:val="000000"/>
                <w:sz w:val="19"/>
                <w:szCs w:val="19"/>
              </w:rPr>
              <w:t xml:space="preserve">Aggregate by default; suppress small cells; restrict patient-level views to authorised roles through row-level security</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Misleading charts leading to wrong decisions</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Chart guide (Section 5); peer review of every new visual; uncertainty shown; definitions linked from each metric</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Stale or incomplete data presented as current</w:t>
            </w:r>
          </w:p>
        </w:tc>
        <w:tc>
          <w:tcPr>
            <w:tcW w:type="dxa" w:w="6580"/>
            <w:tcMar>
              <w:top w:type="dxa" w:w="90"/>
              <w:left w:type="dxa" w:w="120"/>
              <w:bottom w:type="dxa" w:w="90"/>
              <w:right w:type="dxa" w:w="120"/>
            </w:tcMar>
            <w:vAlign w:val="center"/>
          </w:tcPr>
          <w:p>
            <w:r>
              <w:rPr>
                <w:b w:val="false"/>
                <w:bCs w:val="false"/>
                <w:color w:val="000000"/>
                <w:sz w:val="19"/>
                <w:szCs w:val="19"/>
              </w:rPr>
              <w:t xml:space="preserve">Refresh timestamp and completeness indicator on every page; alerts when feeds fail</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Inconsistent metric definitions across teams</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Single governed semantic model; metric glossary with owner for each measure</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Alert fatigue or dashboard overload</w:t>
            </w:r>
          </w:p>
        </w:tc>
        <w:tc>
          <w:tcPr>
            <w:tcW w:type="dxa" w:w="6580"/>
            <w:tcMar>
              <w:top w:type="dxa" w:w="90"/>
              <w:left w:type="dxa" w:w="120"/>
              <w:bottom w:type="dxa" w:w="90"/>
              <w:right w:type="dxa" w:w="120"/>
            </w:tcMar>
            <w:vAlign w:val="center"/>
          </w:tcPr>
          <w:p>
            <w:r>
              <w:rPr>
                <w:b w:val="false"/>
                <w:bCs w:val="false"/>
                <w:color w:val="000000"/>
                <w:sz w:val="19"/>
                <w:szCs w:val="19"/>
              </w:rPr>
              <w:t xml:space="preserve">Limit each page to about six visuals; thresholds agreed with users; usage review to retire unused visuals</w:t>
            </w:r>
          </w:p>
        </w:tc>
      </w:tr>
      <w:tr>
        <w:trPr>
          <w:cantSplit/>
        </w:trPr>
        <w:tc>
          <w:tcPr>
            <w:tcW w:type="dxa" w:w="3500"/>
            <w:shd w:fill="EEF4FA" w:val="clear"/>
            <w:tcMar>
              <w:top w:type="dxa" w:w="90"/>
              <w:left w:type="dxa" w:w="120"/>
              <w:bottom w:type="dxa" w:w="90"/>
              <w:right w:type="dxa" w:w="120"/>
            </w:tcMar>
            <w:vAlign w:val="center"/>
          </w:tcPr>
          <w:p>
            <w:r>
              <w:rPr>
                <w:b/>
                <w:bCs/>
                <w:color w:val="000000"/>
                <w:sz w:val="19"/>
                <w:szCs w:val="19"/>
              </w:rPr>
              <w:t xml:space="preserve">Exclusion of users with disabilities</w:t>
            </w:r>
          </w:p>
        </w:tc>
        <w:tc>
          <w:tcPr>
            <w:tcW w:type="dxa" w:w="6580"/>
            <w:shd w:fill="EEF4FA" w:val="clear"/>
            <w:tcMar>
              <w:top w:type="dxa" w:w="90"/>
              <w:left w:type="dxa" w:w="120"/>
              <w:bottom w:type="dxa" w:w="90"/>
              <w:right w:type="dxa" w:w="120"/>
            </w:tcMar>
            <w:vAlign w:val="center"/>
          </w:tcPr>
          <w:p>
            <w:r>
              <w:rPr>
                <w:b w:val="false"/>
                <w:bCs w:val="false"/>
                <w:color w:val="000000"/>
                <w:sz w:val="19"/>
                <w:szCs w:val="19"/>
              </w:rPr>
              <w:t xml:space="preserve">Accessibility checklist as a release gate; testing with assistive technology</w:t>
            </w:r>
          </w:p>
        </w:tc>
      </w:tr>
      <w:tr>
        <w:trPr>
          <w:cantSplit/>
        </w:trPr>
        <w:tc>
          <w:tcPr>
            <w:tcW w:type="dxa" w:w="3500"/>
            <w:tcMar>
              <w:top w:type="dxa" w:w="90"/>
              <w:left w:type="dxa" w:w="120"/>
              <w:bottom w:type="dxa" w:w="90"/>
              <w:right w:type="dxa" w:w="120"/>
            </w:tcMar>
            <w:vAlign w:val="center"/>
          </w:tcPr>
          <w:p>
            <w:r>
              <w:rPr>
                <w:b/>
                <w:bCs/>
                <w:color w:val="000000"/>
                <w:sz w:val="19"/>
                <w:szCs w:val="19"/>
              </w:rPr>
              <w:t xml:space="preserve">Use of public visual platforms with sensitive data</w:t>
            </w:r>
          </w:p>
        </w:tc>
        <w:tc>
          <w:tcPr>
            <w:tcW w:type="dxa" w:w="6580"/>
            <w:tcMar>
              <w:top w:type="dxa" w:w="90"/>
              <w:left w:type="dxa" w:w="120"/>
              <w:bottom w:type="dxa" w:w="90"/>
              <w:right w:type="dxa" w:w="120"/>
            </w:tcMar>
            <w:vAlign w:val="center"/>
          </w:tcPr>
          <w:p>
            <w:r>
              <w:rPr>
                <w:b w:val="false"/>
                <w:bCs w:val="false"/>
                <w:color w:val="000000"/>
                <w:sz w:val="19"/>
                <w:szCs w:val="19"/>
              </w:rPr>
              <w:t xml:space="preserve">Only de-identified or public data in public tools; patient-level data stays in governed, access-controlled environments</w:t>
            </w:r>
          </w:p>
        </w:tc>
      </w:tr>
    </w:tbl>
    <w:p>
      <w:pPr>
        <w:spacing w:after="120"/>
      </w:pPr>
    </w:p>
    <w:p>
      <w:pPr>
        <w:spacing w:after="160" w:line="276"/>
        <w:jc w:val="left"/>
      </w:pPr>
      <w:r>
        <w:rPr>
          <w:sz w:val="22"/>
          <w:szCs w:val="22"/>
        </w:rPr>
        <w:t xml:space="preserve">Applicable regulations (for example HIPAA in the United States, the Digital Personal Data Protection Act, 2023 in India, and GDPR in Europe) are reviewed before any patient-level data is used, and only data cleared for the purpose is loaded.</w:t>
      </w:r>
    </w:p>
    <w:p>
      <w:pPr>
        <w:pStyle w:val="Heading1"/>
        <w:keepNext/>
        <w:pBdr>
          <w:bottom w:val="single" w:color="0072B2" w:sz="6" w:space="4"/>
        </w:pBdr>
        <w:spacing w:after="160" w:before="360"/>
      </w:pPr>
      <w:r>
        <w:rPr>
          <w:b/>
          <w:bCs/>
          <w:color w:val="1F3864"/>
          <w:sz w:val="30"/>
          <w:szCs w:val="30"/>
        </w:rPr>
        <w:t xml:space="preserve">10. Implementation Roadmap and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3280"/>
      </w:tblGrid>
      <w:tr>
        <w:trPr>
          <w:cantSplit/>
          <w:tblHeader/>
        </w:trPr>
        <w:tc>
          <w:tcPr>
            <w:tcW w:type="dxa" w:w="1800"/>
            <w:shd w:fill="1F3864" w:val="clear"/>
            <w:tcMar>
              <w:top w:type="dxa" w:w="90"/>
              <w:left w:type="dxa" w:w="120"/>
              <w:bottom w:type="dxa" w:w="90"/>
              <w:right w:type="dxa" w:w="120"/>
            </w:tcMar>
            <w:vAlign w:val="center"/>
          </w:tcPr>
          <w:p>
            <w:r>
              <w:rPr>
                <w:b/>
                <w:bCs/>
                <w:color w:val="FFFFFF"/>
                <w:sz w:val="19"/>
                <w:szCs w:val="19"/>
              </w:rPr>
              <w:t xml:space="preserve">Phase</w:t>
            </w:r>
          </w:p>
        </w:tc>
        <w:tc>
          <w:tcPr>
            <w:tcW w:type="dxa" w:w="5000"/>
            <w:shd w:fill="1F3864" w:val="clear"/>
            <w:tcMar>
              <w:top w:type="dxa" w:w="90"/>
              <w:left w:type="dxa" w:w="120"/>
              <w:bottom w:type="dxa" w:w="90"/>
              <w:right w:type="dxa" w:w="120"/>
            </w:tcMar>
            <w:vAlign w:val="center"/>
          </w:tcPr>
          <w:p>
            <w:r>
              <w:rPr>
                <w:b/>
                <w:bCs/>
                <w:color w:val="FFFFFF"/>
                <w:sz w:val="19"/>
                <w:szCs w:val="19"/>
              </w:rPr>
              <w:t xml:space="preserve">Activities</w:t>
            </w:r>
          </w:p>
        </w:tc>
        <w:tc>
          <w:tcPr>
            <w:tcW w:type="dxa" w:w="3280"/>
            <w:shd w:fill="1F3864" w:val="clear"/>
            <w:tcMar>
              <w:top w:type="dxa" w:w="90"/>
              <w:left w:type="dxa" w:w="120"/>
              <w:bottom w:type="dxa" w:w="90"/>
              <w:right w:type="dxa" w:w="120"/>
            </w:tcMar>
            <w:vAlign w:val="center"/>
          </w:tcPr>
          <w:p>
            <w:r>
              <w:rPr>
                <w:b/>
                <w:bCs/>
                <w:color w:val="FFFFFF"/>
                <w:sz w:val="19"/>
                <w:szCs w:val="19"/>
              </w:rPr>
              <w:t xml:space="preserve">Output</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1. Discover</w:t>
            </w:r>
          </w:p>
        </w:tc>
        <w:tc>
          <w:tcPr>
            <w:tcW w:type="dxa" w:w="5000"/>
            <w:tcMar>
              <w:top w:type="dxa" w:w="90"/>
              <w:left w:type="dxa" w:w="120"/>
              <w:bottom w:type="dxa" w:w="90"/>
              <w:right w:type="dxa" w:w="120"/>
            </w:tcMar>
            <w:vAlign w:val="center"/>
          </w:tcPr>
          <w:p>
            <w:r>
              <w:rPr>
                <w:b w:val="false"/>
                <w:bCs w:val="false"/>
                <w:color w:val="000000"/>
                <w:sz w:val="19"/>
                <w:szCs w:val="19"/>
              </w:rPr>
              <w:t xml:space="preserve">Persona interviews, decision mapping, metric definitions</w:t>
            </w:r>
          </w:p>
        </w:tc>
        <w:tc>
          <w:tcPr>
            <w:tcW w:type="dxa" w:w="3280"/>
            <w:tcMar>
              <w:top w:type="dxa" w:w="90"/>
              <w:left w:type="dxa" w:w="120"/>
              <w:bottom w:type="dxa" w:w="90"/>
              <w:right w:type="dxa" w:w="120"/>
            </w:tcMar>
            <w:vAlign w:val="center"/>
          </w:tcPr>
          <w:p>
            <w:r>
              <w:rPr>
                <w:b w:val="false"/>
                <w:bCs w:val="false"/>
                <w:color w:val="000000"/>
                <w:sz w:val="19"/>
                <w:szCs w:val="19"/>
              </w:rPr>
              <w:t xml:space="preserve">Signed-off metric list and glossary</w:t>
            </w:r>
          </w:p>
        </w:tc>
      </w:tr>
      <w:tr>
        <w:trPr>
          <w:cantSplit/>
        </w:trPr>
        <w:tc>
          <w:tcPr>
            <w:tcW w:type="dxa" w:w="1800"/>
            <w:shd w:fill="EEF4FA" w:val="clear"/>
            <w:tcMar>
              <w:top w:type="dxa" w:w="90"/>
              <w:left w:type="dxa" w:w="120"/>
              <w:bottom w:type="dxa" w:w="90"/>
              <w:right w:type="dxa" w:w="120"/>
            </w:tcMar>
            <w:vAlign w:val="center"/>
          </w:tcPr>
          <w:p>
            <w:r>
              <w:rPr>
                <w:b/>
                <w:bCs/>
                <w:color w:val="000000"/>
                <w:sz w:val="19"/>
                <w:szCs w:val="19"/>
              </w:rPr>
              <w:t xml:space="preserve">2. Prototype</w:t>
            </w:r>
          </w:p>
        </w:tc>
        <w:tc>
          <w:tcPr>
            <w:tcW w:type="dxa" w:w="5000"/>
            <w:shd w:fill="EEF4FA" w:val="clear"/>
            <w:tcMar>
              <w:top w:type="dxa" w:w="90"/>
              <w:left w:type="dxa" w:w="120"/>
              <w:bottom w:type="dxa" w:w="90"/>
              <w:right w:type="dxa" w:w="120"/>
            </w:tcMar>
            <w:vAlign w:val="center"/>
          </w:tcPr>
          <w:p>
            <w:r>
              <w:rPr>
                <w:b w:val="false"/>
                <w:bCs w:val="false"/>
                <w:color w:val="000000"/>
                <w:sz w:val="19"/>
                <w:szCs w:val="19"/>
              </w:rPr>
              <w:t xml:space="preserve">Paper and digital wireframes, user walk-throughs</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Validated layouts for three dashboards and one report</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3. Build</w:t>
            </w:r>
          </w:p>
        </w:tc>
        <w:tc>
          <w:tcPr>
            <w:tcW w:type="dxa" w:w="5000"/>
            <w:tcMar>
              <w:top w:type="dxa" w:w="90"/>
              <w:left w:type="dxa" w:w="120"/>
              <w:bottom w:type="dxa" w:w="90"/>
              <w:right w:type="dxa" w:w="120"/>
            </w:tcMar>
            <w:vAlign w:val="center"/>
          </w:tcPr>
          <w:p>
            <w:r>
              <w:rPr>
                <w:b w:val="false"/>
                <w:bCs w:val="false"/>
                <w:color w:val="000000"/>
                <w:sz w:val="19"/>
                <w:szCs w:val="19"/>
              </w:rPr>
              <w:t xml:space="preserve">Data pipeline, model and measures; Power BI pages; Python statistical visuals</w:t>
            </w:r>
          </w:p>
        </w:tc>
        <w:tc>
          <w:tcPr>
            <w:tcW w:type="dxa" w:w="3280"/>
            <w:tcMar>
              <w:top w:type="dxa" w:w="90"/>
              <w:left w:type="dxa" w:w="120"/>
              <w:bottom w:type="dxa" w:w="90"/>
              <w:right w:type="dxa" w:w="120"/>
            </w:tcMar>
            <w:vAlign w:val="center"/>
          </w:tcPr>
          <w:p>
            <w:r>
              <w:rPr>
                <w:b w:val="false"/>
                <w:bCs w:val="false"/>
                <w:color w:val="000000"/>
                <w:sz w:val="19"/>
                <w:szCs w:val="19"/>
              </w:rPr>
              <w:t xml:space="preserve">Working minimum viable dashboards on public or de-identified data</w:t>
            </w:r>
          </w:p>
        </w:tc>
      </w:tr>
      <w:tr>
        <w:trPr>
          <w:cantSplit/>
        </w:trPr>
        <w:tc>
          <w:tcPr>
            <w:tcW w:type="dxa" w:w="1800"/>
            <w:shd w:fill="EEF4FA" w:val="clear"/>
            <w:tcMar>
              <w:top w:type="dxa" w:w="90"/>
              <w:left w:type="dxa" w:w="120"/>
              <w:bottom w:type="dxa" w:w="90"/>
              <w:right w:type="dxa" w:w="120"/>
            </w:tcMar>
            <w:vAlign w:val="center"/>
          </w:tcPr>
          <w:p>
            <w:r>
              <w:rPr>
                <w:b/>
                <w:bCs/>
                <w:color w:val="000000"/>
                <w:sz w:val="19"/>
                <w:szCs w:val="19"/>
              </w:rPr>
              <w:t xml:space="preserve">4. Test</w:t>
            </w:r>
          </w:p>
        </w:tc>
        <w:tc>
          <w:tcPr>
            <w:tcW w:type="dxa" w:w="5000"/>
            <w:shd w:fill="EEF4FA" w:val="clear"/>
            <w:tcMar>
              <w:top w:type="dxa" w:w="90"/>
              <w:left w:type="dxa" w:w="120"/>
              <w:bottom w:type="dxa" w:w="90"/>
              <w:right w:type="dxa" w:w="120"/>
            </w:tcMar>
            <w:vAlign w:val="center"/>
          </w:tcPr>
          <w:p>
            <w:r>
              <w:rPr>
                <w:b w:val="false"/>
                <w:bCs w:val="false"/>
                <w:color w:val="000000"/>
                <w:sz w:val="19"/>
                <w:szCs w:val="19"/>
              </w:rPr>
              <w:t xml:space="preserve">Usability and accessibility testing; performance and security review</w:t>
            </w:r>
          </w:p>
        </w:tc>
        <w:tc>
          <w:tcPr>
            <w:tcW w:type="dxa" w:w="3280"/>
            <w:shd w:fill="EEF4FA" w:val="clear"/>
            <w:tcMar>
              <w:top w:type="dxa" w:w="90"/>
              <w:left w:type="dxa" w:w="120"/>
              <w:bottom w:type="dxa" w:w="90"/>
              <w:right w:type="dxa" w:w="120"/>
            </w:tcMar>
            <w:vAlign w:val="center"/>
          </w:tcPr>
          <w:p>
            <w:r>
              <w:rPr>
                <w:b w:val="false"/>
                <w:bCs w:val="false"/>
                <w:color w:val="000000"/>
                <w:sz w:val="19"/>
                <w:szCs w:val="19"/>
              </w:rPr>
              <w:t xml:space="preserve">Issue log resolved; release approval</w:t>
            </w:r>
          </w:p>
        </w:tc>
      </w:tr>
      <w:tr>
        <w:trPr>
          <w:cantSplit/>
        </w:trPr>
        <w:tc>
          <w:tcPr>
            <w:tcW w:type="dxa" w:w="1800"/>
            <w:tcMar>
              <w:top w:type="dxa" w:w="90"/>
              <w:left w:type="dxa" w:w="120"/>
              <w:bottom w:type="dxa" w:w="90"/>
              <w:right w:type="dxa" w:w="120"/>
            </w:tcMar>
            <w:vAlign w:val="center"/>
          </w:tcPr>
          <w:p>
            <w:r>
              <w:rPr>
                <w:b/>
                <w:bCs/>
                <w:color w:val="000000"/>
                <w:sz w:val="19"/>
                <w:szCs w:val="19"/>
              </w:rPr>
              <w:t xml:space="preserve">5. Launch and learn</w:t>
            </w:r>
          </w:p>
        </w:tc>
        <w:tc>
          <w:tcPr>
            <w:tcW w:type="dxa" w:w="5000"/>
            <w:tcMar>
              <w:top w:type="dxa" w:w="90"/>
              <w:left w:type="dxa" w:w="120"/>
              <w:bottom w:type="dxa" w:w="90"/>
              <w:right w:type="dxa" w:w="120"/>
            </w:tcMar>
            <w:vAlign w:val="center"/>
          </w:tcPr>
          <w:p>
            <w:r>
              <w:rPr>
                <w:b w:val="false"/>
                <w:bCs w:val="false"/>
                <w:color w:val="000000"/>
                <w:sz w:val="19"/>
                <w:szCs w:val="19"/>
              </w:rPr>
              <w:t xml:space="preserve">Training, monthly feedback and usage review, iterate</w:t>
            </w:r>
          </w:p>
        </w:tc>
        <w:tc>
          <w:tcPr>
            <w:tcW w:type="dxa" w:w="3280"/>
            <w:tcMar>
              <w:top w:type="dxa" w:w="90"/>
              <w:left w:type="dxa" w:w="120"/>
              <w:bottom w:type="dxa" w:w="90"/>
              <w:right w:type="dxa" w:w="120"/>
            </w:tcMar>
            <w:vAlign w:val="center"/>
          </w:tcPr>
          <w:p>
            <w:r>
              <w:rPr>
                <w:b w:val="false"/>
                <w:bCs w:val="false"/>
                <w:color w:val="000000"/>
                <w:sz w:val="19"/>
                <w:szCs w:val="19"/>
              </w:rPr>
              <w:t xml:space="preserve">Adoption and impact report</w:t>
            </w:r>
          </w:p>
        </w:tc>
      </w:tr>
    </w:tbl>
    <w:p>
      <w:pPr>
        <w:spacing w:after="120"/>
      </w:pPr>
    </w:p>
    <w:p>
      <w:pPr>
        <w:spacing w:after="160" w:line="276"/>
        <w:jc w:val="left"/>
      </w:pPr>
      <w:r>
        <w:rPr>
          <w:sz w:val="22"/>
          <w:szCs w:val="22"/>
        </w:rPr>
        <w:t xml:space="preserve">Success will be judged against four measures: adoption (share of target users opening the dashboard monthly), speed (time for a new user to answer a defined set of questions), accessibility (all items on the checklist passed and assistive-technology testing completed), and impact (documented decisions or interventions that cite the dashboard). A SUS score of 68 or above, the commonly cited average, is the minimum acceptable usability result, with a higher score targeted after the first iteration.</w:t>
      </w:r>
    </w:p>
    <w:p>
      <w:pPr>
        <w:pStyle w:val="Heading1"/>
        <w:keepNext/>
        <w:pBdr>
          <w:bottom w:val="single" w:color="0072B2" w:sz="6" w:space="4"/>
        </w:pBdr>
        <w:spacing w:after="160" w:before="360"/>
      </w:pPr>
      <w:r>
        <w:rPr>
          <w:b/>
          <w:bCs/>
          <w:color w:val="1F3864"/>
          <w:sz w:val="30"/>
          <w:szCs w:val="30"/>
        </w:rPr>
        <w:t xml:space="preserve">11. Project Work Breakdown</w:t>
      </w:r>
    </w:p>
    <w:p>
      <w:pPr>
        <w:spacing w:after="160" w:line="276"/>
        <w:jc w:val="left"/>
      </w:pPr>
      <w:r>
        <w:rPr>
          <w:sz w:val="22"/>
          <w:szCs w:val="22"/>
        </w:rPr>
        <w:t xml:space="preserve">The table records the planning, research and design effort behind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0"/>
        <w:gridCol w:w="2080"/>
      </w:tblGrid>
      <w:tr>
        <w:trPr>
          <w:cantSplit/>
          <w:tblHeader/>
        </w:trPr>
        <w:tc>
          <w:tcPr>
            <w:tcW w:type="dxa" w:w="8000"/>
            <w:shd w:fill="1F3864" w:val="clear"/>
            <w:tcMar>
              <w:top w:type="dxa" w:w="90"/>
              <w:left w:type="dxa" w:w="120"/>
              <w:bottom w:type="dxa" w:w="90"/>
              <w:right w:type="dxa" w:w="120"/>
            </w:tcMar>
            <w:vAlign w:val="center"/>
          </w:tcPr>
          <w:p>
            <w:r>
              <w:rPr>
                <w:b/>
                <w:bCs/>
                <w:color w:val="FFFFFF"/>
                <w:sz w:val="19"/>
                <w:szCs w:val="19"/>
              </w:rPr>
              <w:t xml:space="preserve">Task</w:t>
            </w:r>
          </w:p>
        </w:tc>
        <w:tc>
          <w:tcPr>
            <w:tcW w:type="dxa" w:w="2080"/>
            <w:shd w:fill="1F3864" w:val="clear"/>
            <w:tcMar>
              <w:top w:type="dxa" w:w="90"/>
              <w:left w:type="dxa" w:w="120"/>
              <w:bottom w:type="dxa" w:w="90"/>
              <w:right w:type="dxa" w:w="120"/>
            </w:tcMar>
            <w:vAlign w:val="center"/>
          </w:tcPr>
          <w:p>
            <w:r>
              <w:rPr>
                <w:b/>
                <w:bCs/>
                <w:color w:val="FFFFFF"/>
                <w:sz w:val="19"/>
                <w:szCs w:val="19"/>
              </w:rPr>
              <w:t xml:space="preserve">Hours</w:t>
            </w:r>
          </w:p>
        </w:tc>
      </w:tr>
      <w:tr>
        <w:trPr>
          <w:cantSplit/>
        </w:trPr>
        <w:tc>
          <w:tcPr>
            <w:tcW w:type="dxa" w:w="8000"/>
            <w:tcMar>
              <w:top w:type="dxa" w:w="90"/>
              <w:left w:type="dxa" w:w="120"/>
              <w:bottom w:type="dxa" w:w="90"/>
              <w:right w:type="dxa" w:w="120"/>
            </w:tcMar>
            <w:vAlign w:val="center"/>
          </w:tcPr>
          <w:p>
            <w:r>
              <w:rPr>
                <w:b/>
                <w:bCs/>
                <w:color w:val="000000"/>
                <w:sz w:val="19"/>
                <w:szCs w:val="19"/>
              </w:rPr>
              <w:t xml:space="preserve">Stakeholder and persona research; mapping decisions to data needs</w:t>
            </w:r>
          </w:p>
        </w:tc>
        <w:tc>
          <w:tcPr>
            <w:tcW w:type="dxa" w:w="2080"/>
            <w:tcMar>
              <w:top w:type="dxa" w:w="90"/>
              <w:left w:type="dxa" w:w="120"/>
              <w:bottom w:type="dxa" w:w="90"/>
              <w:right w:type="dxa" w:w="120"/>
            </w:tcMar>
            <w:vAlign w:val="center"/>
          </w:tcPr>
          <w:p>
            <w:r>
              <w:rPr>
                <w:b w:val="false"/>
                <w:bCs w:val="false"/>
                <w:color w:val="000000"/>
                <w:sz w:val="19"/>
                <w:szCs w:val="19"/>
              </w:rPr>
              <w:t xml:space="preserve">4.0</w:t>
            </w:r>
          </w:p>
        </w:tc>
      </w:tr>
      <w:tr>
        <w:trPr>
          <w:cantSplit/>
        </w:trPr>
        <w:tc>
          <w:tcPr>
            <w:tcW w:type="dxa" w:w="8000"/>
            <w:shd w:fill="EEF4FA" w:val="clear"/>
            <w:tcMar>
              <w:top w:type="dxa" w:w="90"/>
              <w:left w:type="dxa" w:w="120"/>
              <w:bottom w:type="dxa" w:w="90"/>
              <w:right w:type="dxa" w:w="120"/>
            </w:tcMar>
            <w:vAlign w:val="center"/>
          </w:tcPr>
          <w:p>
            <w:r>
              <w:rPr>
                <w:b/>
                <w:bCs/>
                <w:color w:val="000000"/>
                <w:sz w:val="19"/>
                <w:szCs w:val="19"/>
              </w:rPr>
              <w:t xml:space="preserve">Identifying and defining key healthcare metrics</w:t>
            </w:r>
          </w:p>
        </w:tc>
        <w:tc>
          <w:tcPr>
            <w:tcW w:type="dxa" w:w="2080"/>
            <w:shd w:fill="EEF4FA" w:val="clear"/>
            <w:tcMar>
              <w:top w:type="dxa" w:w="90"/>
              <w:left w:type="dxa" w:w="120"/>
              <w:bottom w:type="dxa" w:w="90"/>
              <w:right w:type="dxa" w:w="120"/>
            </w:tcMar>
            <w:vAlign w:val="center"/>
          </w:tcPr>
          <w:p>
            <w:r>
              <w:rPr>
                <w:b w:val="false"/>
                <w:bCs w:val="false"/>
                <w:color w:val="000000"/>
                <w:sz w:val="19"/>
                <w:szCs w:val="19"/>
              </w:rPr>
              <w:t xml:space="preserve">4.0</w:t>
            </w:r>
          </w:p>
        </w:tc>
      </w:tr>
      <w:tr>
        <w:trPr>
          <w:cantSplit/>
        </w:trPr>
        <w:tc>
          <w:tcPr>
            <w:tcW w:type="dxa" w:w="8000"/>
            <w:tcMar>
              <w:top w:type="dxa" w:w="90"/>
              <w:left w:type="dxa" w:w="120"/>
              <w:bottom w:type="dxa" w:w="90"/>
              <w:right w:type="dxa" w:w="120"/>
            </w:tcMar>
            <w:vAlign w:val="center"/>
          </w:tcPr>
          <w:p>
            <w:r>
              <w:rPr>
                <w:b/>
                <w:bCs/>
                <w:color w:val="000000"/>
                <w:sz w:val="19"/>
                <w:szCs w:val="19"/>
              </w:rPr>
              <w:t xml:space="preserve">Tool evaluation and justification</w:t>
            </w:r>
          </w:p>
        </w:tc>
        <w:tc>
          <w:tcPr>
            <w:tcW w:type="dxa" w:w="2080"/>
            <w:tcMar>
              <w:top w:type="dxa" w:w="90"/>
              <w:left w:type="dxa" w:w="120"/>
              <w:bottom w:type="dxa" w:w="90"/>
              <w:right w:type="dxa" w:w="120"/>
            </w:tcMar>
            <w:vAlign w:val="center"/>
          </w:tcPr>
          <w:p>
            <w:r>
              <w:rPr>
                <w:b w:val="false"/>
                <w:bCs w:val="false"/>
                <w:color w:val="000000"/>
                <w:sz w:val="19"/>
                <w:szCs w:val="19"/>
              </w:rPr>
              <w:t xml:space="preserve">3.0</w:t>
            </w:r>
          </w:p>
        </w:tc>
      </w:tr>
      <w:tr>
        <w:trPr>
          <w:cantSplit/>
        </w:trPr>
        <w:tc>
          <w:tcPr>
            <w:tcW w:type="dxa" w:w="8000"/>
            <w:shd w:fill="EEF4FA" w:val="clear"/>
            <w:tcMar>
              <w:top w:type="dxa" w:w="90"/>
              <w:left w:type="dxa" w:w="120"/>
              <w:bottom w:type="dxa" w:w="90"/>
              <w:right w:type="dxa" w:w="120"/>
            </w:tcMar>
            <w:vAlign w:val="center"/>
          </w:tcPr>
          <w:p>
            <w:r>
              <w:rPr>
                <w:b/>
                <w:bCs/>
                <w:color w:val="000000"/>
                <w:sz w:val="19"/>
                <w:szCs w:val="19"/>
              </w:rPr>
              <w:t xml:space="preserve">Designing the raw-data-to-visual process and quality gates</w:t>
            </w:r>
          </w:p>
        </w:tc>
        <w:tc>
          <w:tcPr>
            <w:tcW w:type="dxa" w:w="2080"/>
            <w:shd w:fill="EEF4FA" w:val="clear"/>
            <w:tcMar>
              <w:top w:type="dxa" w:w="90"/>
              <w:left w:type="dxa" w:w="120"/>
              <w:bottom w:type="dxa" w:w="90"/>
              <w:right w:type="dxa" w:w="120"/>
            </w:tcMar>
            <w:vAlign w:val="center"/>
          </w:tcPr>
          <w:p>
            <w:r>
              <w:rPr>
                <w:b w:val="false"/>
                <w:bCs w:val="false"/>
                <w:color w:val="000000"/>
                <w:sz w:val="19"/>
                <w:szCs w:val="19"/>
              </w:rPr>
              <w:t xml:space="preserve">4.0</w:t>
            </w:r>
          </w:p>
        </w:tc>
      </w:tr>
      <w:tr>
        <w:trPr>
          <w:cantSplit/>
        </w:trPr>
        <w:tc>
          <w:tcPr>
            <w:tcW w:type="dxa" w:w="8000"/>
            <w:tcMar>
              <w:top w:type="dxa" w:w="90"/>
              <w:left w:type="dxa" w:w="120"/>
              <w:bottom w:type="dxa" w:w="90"/>
              <w:right w:type="dxa" w:w="120"/>
            </w:tcMar>
            <w:vAlign w:val="center"/>
          </w:tcPr>
          <w:p>
            <w:r>
              <w:rPr>
                <w:b/>
                <w:bCs/>
                <w:color w:val="000000"/>
                <w:sz w:val="19"/>
                <w:szCs w:val="19"/>
              </w:rPr>
              <w:t xml:space="preserve">Researching visualization techniques; building the chart selection guide</w:t>
            </w:r>
          </w:p>
        </w:tc>
        <w:tc>
          <w:tcPr>
            <w:tcW w:type="dxa" w:w="2080"/>
            <w:tcMar>
              <w:top w:type="dxa" w:w="90"/>
              <w:left w:type="dxa" w:w="120"/>
              <w:bottom w:type="dxa" w:w="90"/>
              <w:right w:type="dxa" w:w="120"/>
            </w:tcMar>
            <w:vAlign w:val="center"/>
          </w:tcPr>
          <w:p>
            <w:r>
              <w:rPr>
                <w:b w:val="false"/>
                <w:bCs w:val="false"/>
                <w:color w:val="000000"/>
                <w:sz w:val="19"/>
                <w:szCs w:val="19"/>
              </w:rPr>
              <w:t xml:space="preserve">3.0</w:t>
            </w:r>
          </w:p>
        </w:tc>
      </w:tr>
      <w:tr>
        <w:trPr>
          <w:cantSplit/>
        </w:trPr>
        <w:tc>
          <w:tcPr>
            <w:tcW w:type="dxa" w:w="8000"/>
            <w:shd w:fill="EEF4FA" w:val="clear"/>
            <w:tcMar>
              <w:top w:type="dxa" w:w="90"/>
              <w:left w:type="dxa" w:w="120"/>
              <w:bottom w:type="dxa" w:w="90"/>
              <w:right w:type="dxa" w:w="120"/>
            </w:tcMar>
            <w:vAlign w:val="center"/>
          </w:tcPr>
          <w:p>
            <w:r>
              <w:rPr>
                <w:b/>
                <w:bCs/>
                <w:color w:val="000000"/>
                <w:sz w:val="19"/>
                <w:szCs w:val="19"/>
              </w:rPr>
              <w:t xml:space="preserve">Wireframing and mock-up design (three dashboards, one report)</w:t>
            </w:r>
          </w:p>
        </w:tc>
        <w:tc>
          <w:tcPr>
            <w:tcW w:type="dxa" w:w="2080"/>
            <w:shd w:fill="EEF4FA" w:val="clear"/>
            <w:tcMar>
              <w:top w:type="dxa" w:w="90"/>
              <w:left w:type="dxa" w:w="120"/>
              <w:bottom w:type="dxa" w:w="90"/>
              <w:right w:type="dxa" w:w="120"/>
            </w:tcMar>
            <w:vAlign w:val="center"/>
          </w:tcPr>
          <w:p>
            <w:r>
              <w:rPr>
                <w:b w:val="false"/>
                <w:bCs w:val="false"/>
                <w:color w:val="000000"/>
                <w:sz w:val="19"/>
                <w:szCs w:val="19"/>
              </w:rPr>
              <w:t xml:space="preserve">7.0</w:t>
            </w:r>
          </w:p>
        </w:tc>
      </w:tr>
      <w:tr>
        <w:trPr>
          <w:cantSplit/>
        </w:trPr>
        <w:tc>
          <w:tcPr>
            <w:tcW w:type="dxa" w:w="8000"/>
            <w:tcMar>
              <w:top w:type="dxa" w:w="90"/>
              <w:left w:type="dxa" w:w="120"/>
              <w:bottom w:type="dxa" w:w="90"/>
              <w:right w:type="dxa" w:w="120"/>
            </w:tcMar>
            <w:vAlign w:val="center"/>
          </w:tcPr>
          <w:p>
            <w:r>
              <w:rPr>
                <w:b/>
                <w:bCs/>
                <w:color w:val="000000"/>
                <w:sz w:val="19"/>
                <w:szCs w:val="19"/>
              </w:rPr>
              <w:t xml:space="preserve">Accessibility and user-centred design review</w:t>
            </w:r>
          </w:p>
        </w:tc>
        <w:tc>
          <w:tcPr>
            <w:tcW w:type="dxa" w:w="2080"/>
            <w:tcMar>
              <w:top w:type="dxa" w:w="90"/>
              <w:left w:type="dxa" w:w="120"/>
              <w:bottom w:type="dxa" w:w="90"/>
              <w:right w:type="dxa" w:w="120"/>
            </w:tcMar>
            <w:vAlign w:val="center"/>
          </w:tcPr>
          <w:p>
            <w:r>
              <w:rPr>
                <w:b w:val="false"/>
                <w:bCs w:val="false"/>
                <w:color w:val="000000"/>
                <w:sz w:val="19"/>
                <w:szCs w:val="19"/>
              </w:rPr>
              <w:t xml:space="preserve">3.0</w:t>
            </w:r>
          </w:p>
        </w:tc>
      </w:tr>
      <w:tr>
        <w:trPr>
          <w:cantSplit/>
        </w:trPr>
        <w:tc>
          <w:tcPr>
            <w:tcW w:type="dxa" w:w="8000"/>
            <w:shd w:fill="EEF4FA" w:val="clear"/>
            <w:tcMar>
              <w:top w:type="dxa" w:w="90"/>
              <w:left w:type="dxa" w:w="120"/>
              <w:bottom w:type="dxa" w:w="90"/>
              <w:right w:type="dxa" w:w="120"/>
            </w:tcMar>
            <w:vAlign w:val="center"/>
          </w:tcPr>
          <w:p>
            <w:r>
              <w:rPr>
                <w:b/>
                <w:bCs/>
                <w:color w:val="000000"/>
                <w:sz w:val="19"/>
                <w:szCs w:val="19"/>
              </w:rPr>
              <w:t xml:space="preserve">Communication and storytelling plan</w:t>
            </w:r>
          </w:p>
        </w:tc>
        <w:tc>
          <w:tcPr>
            <w:tcW w:type="dxa" w:w="2080"/>
            <w:shd w:fill="EEF4FA" w:val="clear"/>
            <w:tcMar>
              <w:top w:type="dxa" w:w="90"/>
              <w:left w:type="dxa" w:w="120"/>
              <w:bottom w:type="dxa" w:w="90"/>
              <w:right w:type="dxa" w:w="120"/>
            </w:tcMar>
            <w:vAlign w:val="center"/>
          </w:tcPr>
          <w:p>
            <w:r>
              <w:rPr>
                <w:b w:val="false"/>
                <w:bCs w:val="false"/>
                <w:color w:val="000000"/>
                <w:sz w:val="19"/>
                <w:szCs w:val="19"/>
              </w:rPr>
              <w:t xml:space="preserve">2.0</w:t>
            </w:r>
          </w:p>
        </w:tc>
      </w:tr>
      <w:tr>
        <w:trPr>
          <w:cantSplit/>
        </w:trPr>
        <w:tc>
          <w:tcPr>
            <w:tcW w:type="dxa" w:w="8000"/>
            <w:tcMar>
              <w:top w:type="dxa" w:w="90"/>
              <w:left w:type="dxa" w:w="120"/>
              <w:bottom w:type="dxa" w:w="90"/>
              <w:right w:type="dxa" w:w="120"/>
            </w:tcMar>
            <w:vAlign w:val="center"/>
          </w:tcPr>
          <w:p>
            <w:r>
              <w:rPr>
                <w:b/>
                <w:bCs/>
                <w:color w:val="000000"/>
                <w:sz w:val="19"/>
                <w:szCs w:val="19"/>
              </w:rPr>
              <w:t xml:space="preserve">Governance, privacy and risk notes</w:t>
            </w:r>
          </w:p>
        </w:tc>
        <w:tc>
          <w:tcPr>
            <w:tcW w:type="dxa" w:w="2080"/>
            <w:tcMar>
              <w:top w:type="dxa" w:w="90"/>
              <w:left w:type="dxa" w:w="120"/>
              <w:bottom w:type="dxa" w:w="90"/>
              <w:right w:type="dxa" w:w="120"/>
            </w:tcMar>
            <w:vAlign w:val="center"/>
          </w:tcPr>
          <w:p>
            <w:r>
              <w:rPr>
                <w:b w:val="false"/>
                <w:bCs w:val="false"/>
                <w:color w:val="000000"/>
                <w:sz w:val="19"/>
                <w:szCs w:val="19"/>
              </w:rPr>
              <w:t xml:space="preserve">1.0</w:t>
            </w:r>
          </w:p>
        </w:tc>
      </w:tr>
      <w:tr>
        <w:trPr>
          <w:cantSplit/>
        </w:trPr>
        <w:tc>
          <w:tcPr>
            <w:tcW w:type="dxa" w:w="8000"/>
            <w:shd w:fill="EEF4FA" w:val="clear"/>
            <w:tcMar>
              <w:top w:type="dxa" w:w="90"/>
              <w:left w:type="dxa" w:w="120"/>
              <w:bottom w:type="dxa" w:w="90"/>
              <w:right w:type="dxa" w:w="120"/>
            </w:tcMar>
            <w:vAlign w:val="center"/>
          </w:tcPr>
          <w:p>
            <w:r>
              <w:rPr>
                <w:b/>
                <w:bCs/>
                <w:color w:val="000000"/>
                <w:sz w:val="19"/>
                <w:szCs w:val="19"/>
              </w:rPr>
              <w:t xml:space="preserve">Documentation, quality review and referencing</w:t>
            </w:r>
          </w:p>
        </w:tc>
        <w:tc>
          <w:tcPr>
            <w:tcW w:type="dxa" w:w="2080"/>
            <w:shd w:fill="EEF4FA" w:val="clear"/>
            <w:tcMar>
              <w:top w:type="dxa" w:w="90"/>
              <w:left w:type="dxa" w:w="120"/>
              <w:bottom w:type="dxa" w:w="90"/>
              <w:right w:type="dxa" w:w="120"/>
            </w:tcMar>
            <w:vAlign w:val="center"/>
          </w:tcPr>
          <w:p>
            <w:r>
              <w:rPr>
                <w:b w:val="false"/>
                <w:bCs w:val="false"/>
                <w:color w:val="000000"/>
                <w:sz w:val="19"/>
                <w:szCs w:val="19"/>
              </w:rPr>
              <w:t xml:space="preserve">2.0</w:t>
            </w:r>
          </w:p>
        </w:tc>
      </w:tr>
    </w:tbl>
    <w:p>
      <w:pPr>
        <w:spacing w:after="200" w:before="120"/>
      </w:pPr>
      <w:r>
        <w:rPr>
          <w:b/>
          <w:bCs/>
          <w:color w:val="1F3864"/>
          <w:sz w:val="22"/>
          <w:szCs w:val="22"/>
        </w:rPr>
        <w:t xml:space="preserve">Total estimated effort: approximately 33 hours.</w:t>
      </w:r>
    </w:p>
    <w:p>
      <w:pPr>
        <w:pStyle w:val="Heading1"/>
        <w:keepNext/>
        <w:pBdr>
          <w:bottom w:val="single" w:color="0072B2" w:sz="6" w:space="4"/>
        </w:pBdr>
        <w:spacing w:after="160" w:before="360"/>
      </w:pPr>
      <w:r>
        <w:rPr>
          <w:b/>
          <w:bCs/>
          <w:color w:val="1F3864"/>
          <w:sz w:val="30"/>
          <w:szCs w:val="30"/>
        </w:rPr>
        <w:t xml:space="preserve">12. Conclusion</w:t>
      </w:r>
    </w:p>
    <w:p>
      <w:pPr>
        <w:spacing w:after="160" w:line="276"/>
        <w:jc w:val="left"/>
      </w:pPr>
      <w:r>
        <w:rPr>
          <w:sz w:val="22"/>
          <w:szCs w:val="22"/>
        </w:rPr>
        <w:t xml:space="preserve">Effective healthcare visualization is less about elaborate graphics than about disciplined choices: defining metrics around decisions, building from trustworthy, validated data, choosing the simplest chart that answers the question honestly, and designing for the real people who will use it, including those with disabilities. The dashboards and report in this plan translate that approach into concrete layouts, each element tied to a problem it detects and a decision it informs. Because the workflow, chart guide and accessibility checklist are documented, the plan can be repeated for other datasets and extended as users' needs change.</w:t>
      </w:r>
    </w:p>
    <w:p>
      <w:pPr>
        <w:spacing w:after="160" w:line="276"/>
        <w:jc w:val="left"/>
      </w:pPr>
      <w:r>
        <w:rPr>
          <w:sz w:val="22"/>
          <w:szCs w:val="22"/>
        </w:rPr>
        <w:t xml:space="preserve">Supporting files (mock-up images and the Python script that generates them) are available in the project repository:</w:t>
      </w:r>
    </w:p>
    <w:p>
      <w:pPr>
        <w:spacing w:after="160"/>
      </w:pPr>
      <w:hyperlink w:history="1" r:id="rIdwzofcarnvbfbimyrqjspv">
        <w:r>
          <w:rPr>
            <w:rStyle w:val="Hyperlink"/>
            <w:color w:val="0563C1"/>
            <w:sz w:val="22"/>
            <w:szCs w:val="22"/>
            <w:u w:val="single"/>
          </w:rPr>
          <w:t xml:space="preserve">https://github.com/ipshitav71-wq/healthcare-data-visualization-plan</w:t>
        </w:r>
      </w:hyperlink>
    </w:p>
    <w:p>
      <w:pPr>
        <w:pStyle w:val="Heading1"/>
        <w:keepNext/>
        <w:pBdr>
          <w:bottom w:val="single" w:color="0072B2" w:sz="6" w:space="4"/>
        </w:pBdr>
        <w:spacing w:after="160" w:before="360"/>
      </w:pPr>
      <w:r>
        <w:rPr>
          <w:b/>
          <w:bCs/>
          <w:color w:val="1F3864"/>
          <w:sz w:val="30"/>
          <w:szCs w:val="30"/>
        </w:rPr>
        <w:t xml:space="preserve">References</w:t>
      </w:r>
    </w:p>
    <w:p>
      <w:pPr>
        <w:spacing w:after="120" w:line="260"/>
        <w:ind w:left="360" w:hanging="360"/>
      </w:pPr>
      <w:r>
        <w:rPr>
          <w:color w:val="595959"/>
          <w:sz w:val="20"/>
          <w:szCs w:val="20"/>
        </w:rPr>
        <w:t xml:space="preserve">Benneyan, J. C., Lloyd, R. C., &amp; Plsek, P. E. (2003). Statistical process control as a tool for research and healthcare improvement. Quality and Safety in Health Care, 12(6), 458–464. https://doi.org/10.1136/qhc.12.6.458</w:t>
      </w:r>
    </w:p>
    <w:p>
      <w:pPr>
        <w:spacing w:after="120" w:line="260"/>
        <w:ind w:left="360" w:hanging="360"/>
      </w:pPr>
      <w:r>
        <w:rPr>
          <w:color w:val="595959"/>
          <w:sz w:val="20"/>
          <w:szCs w:val="20"/>
        </w:rPr>
        <w:t xml:space="preserve">Brooke, J. (1996). SUS: A quick and dirty usability scale. In P. W. Jordan, B. Thomas, B. A. Weerdmeester, &amp; I. L. McClelland (Eds.), Usability evaluation in industry (pp. 189–194). Taylor &amp; Francis.</w:t>
      </w:r>
    </w:p>
    <w:p>
      <w:pPr>
        <w:spacing w:after="120" w:line="260"/>
        <w:ind w:left="360" w:hanging="360"/>
      </w:pPr>
      <w:r>
        <w:rPr>
          <w:color w:val="595959"/>
          <w:sz w:val="20"/>
          <w:szCs w:val="20"/>
        </w:rPr>
        <w:t xml:space="preserve">Cleveland, W. S., &amp; McGill, R. (1984). Graphical perception: Theory, experimentation, and application to the development of graphical methods. Journal of the American Statistical Association, 79(387), 531–554. https://doi.org/10.1080/01621459.1984.10478080</w:t>
      </w:r>
    </w:p>
    <w:p>
      <w:pPr>
        <w:spacing w:after="120" w:line="260"/>
        <w:ind w:left="360" w:hanging="360"/>
      </w:pPr>
      <w:r>
        <w:rPr>
          <w:color w:val="595959"/>
          <w:sz w:val="20"/>
          <w:szCs w:val="20"/>
        </w:rPr>
        <w:t xml:space="preserve">Few, S. (2013). Information dashboard design: Displaying data for at-a-glance monitoring (2nd ed.). Analytics Press.</w:t>
      </w:r>
    </w:p>
    <w:p>
      <w:pPr>
        <w:spacing w:after="120" w:line="260"/>
        <w:ind w:left="360" w:hanging="360"/>
      </w:pPr>
      <w:r>
        <w:rPr>
          <w:color w:val="595959"/>
          <w:sz w:val="20"/>
          <w:szCs w:val="20"/>
        </w:rPr>
        <w:t xml:space="preserve">Knaflic, C. N. (2015). Storytelling with data: A data visualization guide for business professionals. Wiley.</w:t>
      </w:r>
    </w:p>
    <w:p>
      <w:pPr>
        <w:spacing w:after="120" w:line="260"/>
        <w:ind w:left="360" w:hanging="360"/>
      </w:pPr>
      <w:r>
        <w:rPr>
          <w:color w:val="595959"/>
          <w:sz w:val="20"/>
          <w:szCs w:val="20"/>
        </w:rPr>
        <w:t xml:space="preserve">Okabe, M., &amp; Ito, K. (2008). Color universal design (CUD): How to make figures and presentations that are friendly to colorblind people. https://jfly.uni-koeln.de/color/</w:t>
      </w:r>
    </w:p>
    <w:p>
      <w:pPr>
        <w:spacing w:after="120" w:line="260"/>
        <w:ind w:left="360" w:hanging="360"/>
      </w:pPr>
      <w:r>
        <w:rPr>
          <w:color w:val="595959"/>
          <w:sz w:val="20"/>
          <w:szCs w:val="20"/>
        </w:rPr>
        <w:t xml:space="preserve">Shneiderman, B. (1996). The eyes have it: A task by data type taxonomy for information visualizations. Proceedings of the IEEE Symposium on Visual Languages, 336–343. https://doi.org/10.1109/VL.1996.545307</w:t>
      </w:r>
    </w:p>
    <w:p>
      <w:pPr>
        <w:spacing w:after="120" w:line="260"/>
        <w:ind w:left="360" w:hanging="360"/>
      </w:pPr>
      <w:r>
        <w:rPr>
          <w:color w:val="595959"/>
          <w:sz w:val="20"/>
          <w:szCs w:val="20"/>
        </w:rPr>
        <w:t xml:space="preserve">Spiegelhalter, D. J. (2005). Funnel plots for comparing institutional performance. Statistics in Medicine, 24(8), 1185–1202. https://doi.org/10.1002/sim.1970</w:t>
      </w:r>
    </w:p>
    <w:p>
      <w:pPr>
        <w:spacing w:after="120" w:line="260"/>
        <w:ind w:left="360" w:hanging="360"/>
      </w:pPr>
      <w:r>
        <w:rPr>
          <w:color w:val="595959"/>
          <w:sz w:val="20"/>
          <w:szCs w:val="20"/>
        </w:rPr>
        <w:t xml:space="preserve">Tufte, E. R. (2001). The visual display of quantitative information (2nd ed.). Graphics Press.</w:t>
      </w:r>
    </w:p>
    <w:p>
      <w:pPr>
        <w:spacing w:after="120" w:line="260"/>
        <w:ind w:left="360" w:hanging="360"/>
      </w:pPr>
      <w:r>
        <w:rPr>
          <w:color w:val="595959"/>
          <w:sz w:val="20"/>
          <w:szCs w:val="20"/>
        </w:rPr>
        <w:t xml:space="preserve">Weiskopf, N. G., &amp; Weng, C. (2013). Methods and dimensions of electronic health record data quality assessment: Enabling reuse for clinical research. Journal of the American Medical Informatics Association, 20(1), 144–151. https://doi.org/10.1136/amiajnl-2011-000681</w:t>
      </w:r>
    </w:p>
    <w:p>
      <w:pPr>
        <w:spacing w:after="120" w:line="260"/>
        <w:ind w:left="360" w:hanging="360"/>
      </w:pPr>
      <w:r>
        <w:rPr>
          <w:color w:val="595959"/>
          <w:sz w:val="20"/>
          <w:szCs w:val="20"/>
        </w:rPr>
        <w:t xml:space="preserve">World Wide Web Consortium. (2018). Web Content Accessibility Guidelines (WCAG) 2.1. https://www.w3.org/TR/WCAG21/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Healthcare Data Visualization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dxoesymtdzdf5gju3l64" Type="http://schemas.openxmlformats.org/officeDocument/2006/relationships/hyperlink" Target="https://github.com/ipshitav71-wq/healthcare-data-visualization-plan" TargetMode="External"/><Relationship Id="rIdwzofcarnvbfbimyrqjspv" Type="http://schemas.openxmlformats.org/officeDocument/2006/relationships/hyperlink" Target="https://github.com/ipshitav71-wq/healthcare-data-visualization-plan" TargetMode="External"/><Relationship Id="rId9" Type="http://schemas.openxmlformats.org/officeDocument/2006/relationships/image" Target="media/1bd6a87887dc9a0f6d0358be4dcf06c11fef0b00.png"/><Relationship Id="rId10" Type="http://schemas.openxmlformats.org/officeDocument/2006/relationships/image" Target="media/5047d7d7381829ff5f73b3e2c48308b0611f63b3.png"/><Relationship Id="rId11" Type="http://schemas.openxmlformats.org/officeDocument/2006/relationships/image" Target="media/d2c34585bf9395374d21b1199e312c2ede15799e.png"/><Relationship Id="rId12" Type="http://schemas.openxmlformats.org/officeDocument/2006/relationships/image" Target="media/972f121009236622280bd9c70085fd2bb829c1c0.png"/><Relationship Id="rId13" Type="http://schemas.openxmlformats.org/officeDocument/2006/relationships/image" Target="media/131e0dfcfbbfcd6da76e6770778edbff3083f71f.png"/><Relationship Id="rId14" Type="http://schemas.openxmlformats.org/officeDocument/2006/relationships/image" Target="media/61b741f943b6c55dfbf5e5397d113d5bd030468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2026-10-24T09:43:29.147Z</dcterms:created>
  <dcterms:modified xsi:type="dcterms:W3CDTF">2026-10-24T09:43:29.154Z</dcterms:modified>
</cp:coreProperties>
</file>

<file path=docProps/custom.xml><?xml version="1.0" encoding="utf-8"?>
<Properties xmlns="http://schemas.openxmlformats.org/officeDocument/2006/custom-properties" xmlns:vt="http://schemas.openxmlformats.org/officeDocument/2006/docPropsVTypes"/>
</file>