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DZS</w:t>
      </w:r>
      <w:r>
        <w:t xml:space="preserve"> </w:t>
      </w:r>
      <w:r>
        <w:t xml:space="preserve">tablice</w:t>
      </w:r>
      <w:r>
        <w:t xml:space="preserve"> </w:t>
      </w:r>
      <w:r>
        <w:t xml:space="preserve">v1</w:t>
      </w:r>
    </w:p>
    <w:p>
      <w:pPr>
        <w:pStyle w:val="Heading4"/>
      </w:pPr>
      <w:bookmarkStart w:id="21" w:name="tablica-1-stanovnici"/>
      <w:bookmarkEnd w:id="21"/>
      <w:r>
        <w:t xml:space="preserve">tablica 1: stanovnici</w:t>
      </w:r>
    </w:p>
    <w:tbl>
      <w:tblPr>
        <w:tblStyle w:val="TableNormal"/>
        <w:tblW w:type="pct" w:w="0.0"/>
        <w:tblCaption w:val="Promjena broja stanovnika između popisa 2001. i 2011. godine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pop_2011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stopa.promjene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-35.7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right"/>
            </w:pPr>
            <w:r>
              <w:t xml:space="preserve">938</w:t>
            </w:r>
          </w:p>
        </w:tc>
        <w:tc>
          <w:p>
            <w:pPr>
              <w:pStyle w:val="Compact"/>
              <w:jc w:val="right"/>
            </w:pPr>
            <w:r>
              <w:t xml:space="preserve">679</w:t>
            </w:r>
          </w:p>
        </w:tc>
        <w:tc>
          <w:p>
            <w:pPr>
              <w:pStyle w:val="Compact"/>
              <w:jc w:val="right"/>
            </w:pPr>
            <w:r>
              <w:t xml:space="preserve">-27.6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right"/>
            </w:pPr>
            <w:r>
              <w:t xml:space="preserve">1790</w:t>
            </w:r>
          </w:p>
        </w:tc>
        <w:tc>
          <w:p>
            <w:pPr>
              <w:pStyle w:val="Compact"/>
              <w:jc w:val="right"/>
            </w:pPr>
            <w:r>
              <w:t xml:space="preserve">1350</w:t>
            </w:r>
          </w:p>
        </w:tc>
        <w:tc>
          <w:p>
            <w:pPr>
              <w:pStyle w:val="Compact"/>
              <w:jc w:val="right"/>
            </w:pPr>
            <w:r>
              <w:t xml:space="preserve">-24.6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-34.8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-33.0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-19.1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-26.9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-12.0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-31.2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-27.5</w:t>
            </w:r>
          </w:p>
        </w:tc>
      </w:tr>
    </w:tbl>
    <w:p>
      <w:pPr>
        <w:pStyle w:val="TableCaption"/>
      </w:pPr>
      <w:r>
        <w:t xml:space="preserve">Promjena broja stanovnika između popisa 2001. i 2011. godine</w:t>
      </w:r>
    </w:p>
    <w:tbl>
      <w:tblPr>
        <w:tblStyle w:val="TableNormal"/>
        <w:tblW w:type="pct" w:w="0.0"/>
        <w:tblCaption w:val="Prosjeci pomoćni 1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stan.ZDpol.2011</w:t>
            </w:r>
          </w:p>
        </w:tc>
        <w:tc>
          <w:p>
            <w:pPr>
              <w:pStyle w:val="Compact"/>
              <w:jc w:val="right"/>
            </w:pPr>
            <w:r>
              <w:t xml:space="preserve">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stan.ZDpol.2001</w:t>
            </w:r>
          </w:p>
        </w:tc>
        <w:tc>
          <w:p>
            <w:pPr>
              <w:pStyle w:val="Compact"/>
              <w:jc w:val="right"/>
            </w:pPr>
            <w:r>
              <w:t xml:space="preserve">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stan.ZD.2011</w:t>
            </w:r>
          </w:p>
        </w:tc>
        <w:tc>
          <w:p>
            <w:pPr>
              <w:pStyle w:val="Compact"/>
              <w:jc w:val="right"/>
            </w:pPr>
            <w:r>
              <w:t xml:space="preserve">1743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stan.ZD.2001</w:t>
            </w:r>
          </w:p>
        </w:tc>
        <w:tc>
          <w:p>
            <w:pPr>
              <w:pStyle w:val="Compact"/>
              <w:jc w:val="right"/>
            </w:pPr>
            <w:r>
              <w:t xml:space="preserve">1696</w:t>
            </w:r>
          </w:p>
        </w:tc>
      </w:tr>
    </w:tbl>
    <w:p>
      <w:pPr>
        <w:pStyle w:val="TableCaption"/>
      </w:pPr>
      <w:r>
        <w:t xml:space="preserve">Prosjeci pomoćni 1.1</w:t>
      </w:r>
    </w:p>
    <w:tbl>
      <w:tblPr>
        <w:tblStyle w:val="TableNormal"/>
        <w:tblW w:type="pct" w:w="0.0"/>
        <w:tblCaption w:val="Prosjeci pomoćni 1.2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stopa.ZDpol</w:t>
            </w:r>
          </w:p>
        </w:tc>
        <w:tc>
          <w:p>
            <w:pPr>
              <w:pStyle w:val="Compact"/>
              <w:jc w:val="right"/>
            </w:pPr>
            <w:r>
              <w:t xml:space="preserve">-26.3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stopa.ZD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</w:tbl>
    <w:p>
      <w:pPr>
        <w:pStyle w:val="TableCaption"/>
      </w:pPr>
      <w:r>
        <w:t xml:space="preserve">Prosjeci pomoćni 1.2</w:t>
      </w:r>
    </w:p>
    <w:p>
      <w:pPr>
        <w:pStyle w:val="Heading4"/>
      </w:pPr>
      <w:bookmarkStart w:id="22" w:name="tablica-2-starenje"/>
      <w:bookmarkEnd w:id="22"/>
      <w:r>
        <w:t xml:space="preserve">tablica 2: starenje</w:t>
      </w:r>
    </w:p>
    <w:tbl>
      <w:tblPr>
        <w:tblStyle w:val="TableNormal"/>
        <w:tblW w:type="pct" w:w="0.0"/>
        <w:tblCaption w:val="Pokazatelji dobne strukture stanovništva zadarskog poluotoka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median.age_2001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median.age_2011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aging.index_2001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aging.index_2011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211.5</w:t>
            </w:r>
          </w:p>
        </w:tc>
        <w:tc>
          <w:p>
            <w:pPr>
              <w:pStyle w:val="Compact"/>
              <w:jc w:val="right"/>
            </w:pPr>
            <w:r>
              <w:t xml:space="preserve">223.8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dob__50_54</w:t>
            </w:r>
          </w:p>
        </w:tc>
        <w:tc>
          <w:p>
            <w:pPr>
              <w:pStyle w:val="Compact"/>
              <w:jc w:val="right"/>
            </w:pPr>
            <w:r>
              <w:t xml:space="preserve">190.2</w:t>
            </w:r>
          </w:p>
        </w:tc>
        <w:tc>
          <w:p>
            <w:pPr>
              <w:pStyle w:val="Compact"/>
              <w:jc w:val="right"/>
            </w:pPr>
            <w:r>
              <w:t xml:space="preserve">398.3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168.0</w:t>
            </w:r>
          </w:p>
        </w:tc>
        <w:tc>
          <w:p>
            <w:pPr>
              <w:pStyle w:val="Compact"/>
              <w:jc w:val="right"/>
            </w:pPr>
            <w:r>
              <w:t xml:space="preserve">271.7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157.4</w:t>
            </w:r>
          </w:p>
        </w:tc>
        <w:tc>
          <w:p>
            <w:pPr>
              <w:pStyle w:val="Compact"/>
              <w:jc w:val="right"/>
            </w:pPr>
            <w:r>
              <w:t xml:space="preserve">231.0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163.5</w:t>
            </w:r>
          </w:p>
        </w:tc>
        <w:tc>
          <w:p>
            <w:pPr>
              <w:pStyle w:val="Compact"/>
              <w:jc w:val="right"/>
            </w:pPr>
            <w:r>
              <w:t xml:space="preserve">405.3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176.9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left"/>
            </w:pPr>
            <w:r>
              <w:t xml:space="preserve">dob__35_39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right"/>
            </w:pPr>
            <w:r>
              <w:t xml:space="preserve">112.0</w:t>
            </w:r>
          </w:p>
        </w:tc>
        <w:tc>
          <w:p>
            <w:pPr>
              <w:pStyle w:val="Compact"/>
              <w:jc w:val="right"/>
            </w:pPr>
            <w:r>
              <w:t xml:space="preserve">167.9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203.1</w:t>
            </w:r>
          </w:p>
        </w:tc>
        <w:tc>
          <w:p>
            <w:pPr>
              <w:pStyle w:val="Compact"/>
              <w:jc w:val="right"/>
            </w:pPr>
            <w:r>
              <w:t xml:space="preserve">244.0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right"/>
            </w:pPr>
            <w:r>
              <w:t xml:space="preserve">217.6</w:t>
            </w:r>
          </w:p>
        </w:tc>
        <w:tc>
          <w:p>
            <w:pPr>
              <w:pStyle w:val="Compact"/>
              <w:jc w:val="right"/>
            </w:pPr>
            <w:r>
              <w:t xml:space="preserve">292.3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  <w:tc>
          <w:p>
            <w:pPr>
              <w:pStyle w:val="Compact"/>
              <w:jc w:val="left"/>
            </w:pPr>
            <w:r>
              <w:t xml:space="preserve">dob__55_59</w:t>
            </w:r>
          </w:p>
        </w:tc>
        <w:tc>
          <w:p>
            <w:pPr>
              <w:pStyle w:val="Compact"/>
              <w:jc w:val="right"/>
            </w:pPr>
            <w:r>
              <w:t xml:space="preserve">208.7</w:t>
            </w:r>
          </w:p>
        </w:tc>
        <w:tc>
          <w:p>
            <w:pPr>
              <w:pStyle w:val="Compact"/>
              <w:jc w:val="right"/>
            </w:pPr>
            <w:r>
              <w:t xml:space="preserve">800.0</w:t>
            </w:r>
          </w:p>
        </w:tc>
      </w:tr>
    </w:tbl>
    <w:p>
      <w:pPr>
        <w:pStyle w:val="TableCaption"/>
      </w:pPr>
      <w:r>
        <w:t xml:space="preserve">Pokazatelji dobne strukture stanovništva zadarskog poluotoka</w:t>
      </w:r>
    </w:p>
    <w:tbl>
      <w:tblPr>
        <w:tblStyle w:val="TableNormal"/>
        <w:tblW w:type="pct" w:w="0.0"/>
        <w:tblCaption w:val="Prosjeci pomoćni 2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med.ZDpol.2011</w:t>
            </w:r>
          </w:p>
        </w:tc>
        <w:tc>
          <w:p>
            <w:pPr>
              <w:pStyle w:val="Compact"/>
              <w:jc w:val="left"/>
            </w:pPr>
            <w:r>
              <w:t xml:space="preserve">dob__45_49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med.ZDpol.2001</w:t>
            </w:r>
          </w:p>
        </w:tc>
        <w:tc>
          <w:p>
            <w:pPr>
              <w:pStyle w:val="Compact"/>
              <w:jc w:val="left"/>
            </w:pPr>
            <w:r>
              <w:t xml:space="preserve">dob__40_44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med.ZD.2011</w:t>
            </w:r>
          </w:p>
        </w:tc>
        <w:tc>
          <w:p>
            <w:pPr>
              <w:pStyle w:val="Compact"/>
              <w:jc w:val="left"/>
            </w:pPr>
            <w:r>
              <w:t xml:space="preserve">dob__35_39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med.ZD.2001</w:t>
            </w:r>
          </w:p>
        </w:tc>
        <w:tc>
          <w:p>
            <w:pPr>
              <w:pStyle w:val="Compact"/>
              <w:jc w:val="left"/>
            </w:pPr>
            <w:r>
              <w:t xml:space="preserve">dob__35_39</w:t>
            </w:r>
          </w:p>
        </w:tc>
      </w:tr>
    </w:tbl>
    <w:p>
      <w:pPr>
        <w:pStyle w:val="TableCaption"/>
      </w:pPr>
      <w:r>
        <w:t xml:space="preserve">Prosjeci pomoćni 2.1</w:t>
      </w:r>
    </w:p>
    <w:tbl>
      <w:tblPr>
        <w:tblStyle w:val="TableNormal"/>
        <w:tblW w:type="pct" w:w="0.0"/>
        <w:tblCaption w:val="Prosjeci pomoćni 2.2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aging.ZDpol.2011</w:t>
            </w:r>
          </w:p>
        </w:tc>
        <w:tc>
          <w:p>
            <w:pPr>
              <w:pStyle w:val="Compact"/>
              <w:jc w:val="right"/>
            </w:pPr>
            <w:r>
              <w:t xml:space="preserve">312.5275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aging.ZDpol.2001</w:t>
            </w:r>
          </w:p>
        </w:tc>
        <w:tc>
          <w:p>
            <w:pPr>
              <w:pStyle w:val="Compact"/>
              <w:jc w:val="right"/>
            </w:pPr>
            <w:r>
              <w:t xml:space="preserve">174.6534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aging.ZD.2011</w:t>
            </w:r>
          </w:p>
        </w:tc>
        <w:tc>
          <w:p>
            <w:pPr>
              <w:pStyle w:val="Compact"/>
              <w:jc w:val="right"/>
            </w:pPr>
            <w:r>
              <w:t xml:space="preserve">146.8103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aging.ZD.2001</w:t>
            </w:r>
          </w:p>
        </w:tc>
        <w:tc>
          <w:p>
            <w:pPr>
              <w:pStyle w:val="Compact"/>
              <w:jc w:val="right"/>
            </w:pPr>
            <w:r>
              <w:t xml:space="preserve">106.7508</w:t>
            </w:r>
          </w:p>
        </w:tc>
      </w:tr>
    </w:tbl>
    <w:p>
      <w:pPr>
        <w:pStyle w:val="TableCaption"/>
      </w:pPr>
      <w:r>
        <w:t xml:space="preserve">Prosjeci pomoćni 2.2</w:t>
      </w:r>
    </w:p>
    <w:p>
      <w:pPr>
        <w:pStyle w:val="Heading4"/>
      </w:pPr>
      <w:bookmarkStart w:id="23" w:name="tablica-3-obrazovanje"/>
      <w:bookmarkEnd w:id="23"/>
      <w:r>
        <w:t xml:space="preserve">tablica 3: obrazovanje</w:t>
      </w:r>
    </w:p>
    <w:tbl>
      <w:tblPr>
        <w:tblStyle w:val="TableNormal"/>
        <w:tblW w:type="pct" w:w="0.0"/>
        <w:tblCaption w:val="Pokazatelji obrazovne strukture stanovništva zadarskog poluotoka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obr.index_2001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obr.index_2011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terc_2001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terc_2011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25.1</w:t>
            </w:r>
          </w:p>
        </w:tc>
        <w:tc>
          <w:p>
            <w:pPr>
              <w:pStyle w:val="Compact"/>
              <w:jc w:val="right"/>
            </w:pPr>
            <w:r>
              <w:t xml:space="preserve">35.8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26.8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28.7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p>
            <w:pPr>
              <w:pStyle w:val="Compact"/>
              <w:jc w:val="right"/>
            </w:pPr>
            <w:r>
              <w:t xml:space="preserve">20.6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p>
            <w:pPr>
              <w:pStyle w:val="Compact"/>
              <w:jc w:val="right"/>
            </w:pPr>
            <w:r>
              <w:t xml:space="preserve">29.4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p>
            <w:pPr>
              <w:pStyle w:val="Compact"/>
              <w:jc w:val="right"/>
            </w:pPr>
            <w:r>
              <w:t xml:space="preserve">47.8</w:t>
            </w:r>
          </w:p>
        </w:tc>
      </w:tr>
    </w:tbl>
    <w:p>
      <w:pPr>
        <w:pStyle w:val="TableCaption"/>
      </w:pPr>
      <w:r>
        <w:t xml:space="preserve">Pokazatelji obrazovne strukture stanovništva zadarskog poluotoka</w:t>
      </w:r>
    </w:p>
    <w:tbl>
      <w:tblPr>
        <w:tblStyle w:val="TableNormal"/>
        <w:tblW w:type="pct" w:w="0.0"/>
        <w:tblCaption w:val="pomoćni 3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ind.obr.ZDpol.2011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ind.obr.ZDpol.2001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ind.obr.ZD.2011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ind.obr.ZD.2001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TableCaption"/>
      </w:pPr>
      <w:r>
        <w:t xml:space="preserve">pomoćni 3.1</w:t>
      </w:r>
    </w:p>
    <w:tbl>
      <w:tblPr>
        <w:tblStyle w:val="TableNormal"/>
        <w:tblW w:type="pct" w:w="0.0"/>
        <w:tblCaption w:val="pomoćni 3.2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terc.ZDpol.2011</w:t>
            </w:r>
          </w:p>
        </w:tc>
        <w:tc>
          <w:p>
            <w:pPr>
              <w:pStyle w:val="Compact"/>
              <w:jc w:val="right"/>
            </w:pPr>
            <w:r>
              <w:t xml:space="preserve">28.5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terc.ZDpol.2001</w:t>
            </w:r>
          </w:p>
        </w:tc>
        <w:tc>
          <w:p>
            <w:pPr>
              <w:pStyle w:val="Compact"/>
              <w:jc w:val="right"/>
            </w:pPr>
            <w:r>
              <w:t xml:space="preserve">22.7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terc.ZD.2011</w:t>
            </w:r>
          </w:p>
        </w:tc>
        <w:tc>
          <w:p>
            <w:pPr>
              <w:pStyle w:val="Compact"/>
              <w:jc w:val="right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terc.ZD.2001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</w:tr>
    </w:tbl>
    <w:p>
      <w:pPr>
        <w:pStyle w:val="TableCaption"/>
      </w:pPr>
      <w:r>
        <w:t xml:space="preserve">pomoćni 3.2</w:t>
      </w:r>
    </w:p>
    <w:p>
      <w:pPr>
        <w:pStyle w:val="Heading4"/>
      </w:pPr>
      <w:bookmarkStart w:id="24" w:name="tablica-4-migracije"/>
      <w:bookmarkEnd w:id="24"/>
      <w:r>
        <w:t xml:space="preserve">tablica 4: migracije</w:t>
      </w:r>
    </w:p>
    <w:tbl>
      <w:tblPr>
        <w:tblStyle w:val="TableNormal"/>
        <w:tblW w:type="pct" w:w="0.0"/>
        <w:tblCaption w:val="Udjeli doseljenog stanovništva na zadarskom poluotoku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migr.omjer_2001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migr.omjer_2011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right"/>
            </w:pPr>
            <w:r>
              <w:t xml:space="preserve">51.0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right"/>
            </w:pPr>
            <w:r>
              <w:t xml:space="preserve">55.3</w:t>
            </w:r>
          </w:p>
        </w:tc>
        <w:tc>
          <w:p>
            <w:pPr>
              <w:pStyle w:val="Compact"/>
              <w:jc w:val="right"/>
            </w:pPr>
            <w:r>
              <w:t xml:space="preserve">55.3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p>
            <w:pPr>
              <w:pStyle w:val="Compact"/>
              <w:jc w:val="right"/>
            </w:pPr>
            <w:r>
              <w:t xml:space="preserve">56.2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right"/>
            </w:pPr>
            <w:r>
              <w:t xml:space="preserve">48.2</w:t>
            </w:r>
          </w:p>
        </w:tc>
        <w:tc>
          <w:p>
            <w:pPr>
              <w:pStyle w:val="Compact"/>
              <w:jc w:val="right"/>
            </w:pPr>
            <w:r>
              <w:t xml:space="preserve">50.8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right"/>
            </w:pPr>
            <w:r>
              <w:t xml:space="preserve">43.6</w:t>
            </w:r>
          </w:p>
        </w:tc>
        <w:tc>
          <w:p>
            <w:pPr>
              <w:pStyle w:val="Compact"/>
              <w:jc w:val="right"/>
            </w:pPr>
            <w:r>
              <w:t xml:space="preserve">51.6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right"/>
            </w:pPr>
            <w:r>
              <w:t xml:space="preserve">50.8</w:t>
            </w:r>
          </w:p>
        </w:tc>
        <w:tc>
          <w:p>
            <w:pPr>
              <w:pStyle w:val="Compact"/>
              <w:jc w:val="right"/>
            </w:pPr>
            <w:r>
              <w:t xml:space="preserve">51.0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right"/>
            </w:pPr>
            <w:r>
              <w:t xml:space="preserve">56.2</w:t>
            </w:r>
          </w:p>
        </w:tc>
        <w:tc>
          <w:p>
            <w:pPr>
              <w:pStyle w:val="Compact"/>
              <w:jc w:val="right"/>
            </w:pPr>
            <w:r>
              <w:t xml:space="preserve">52.8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right"/>
            </w:pPr>
            <w:r>
              <w:t xml:space="preserve">51.0</w:t>
            </w:r>
          </w:p>
        </w:tc>
        <w:tc>
          <w:p>
            <w:pPr>
              <w:pStyle w:val="Compact"/>
              <w:jc w:val="right"/>
            </w:pPr>
            <w:r>
              <w:t xml:space="preserve">46.8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right"/>
            </w:pPr>
            <w:r>
              <w:t xml:space="preserve">49.7</w:t>
            </w:r>
          </w:p>
        </w:tc>
        <w:tc>
          <w:p>
            <w:pPr>
              <w:pStyle w:val="Compact"/>
              <w:jc w:val="right"/>
            </w:pPr>
            <w:r>
              <w:t xml:space="preserve">54.5</w:t>
            </w:r>
          </w:p>
        </w:tc>
      </w:tr>
    </w:tbl>
    <w:p>
      <w:pPr>
        <w:pStyle w:val="TableCaption"/>
      </w:pPr>
      <w:r>
        <w:t xml:space="preserve">Udjeli doseljenog stanovništva na zadarskom poluotoku</w:t>
      </w:r>
    </w:p>
    <w:tbl>
      <w:tblPr>
        <w:tblStyle w:val="TableNormal"/>
        <w:tblW w:type="pct" w:w="0.0"/>
        <w:tblCaption w:val="pomoćni 4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migr.ZDpol.2011</w:t>
            </w:r>
          </w:p>
        </w:tc>
        <w:tc>
          <w:p>
            <w:pPr>
              <w:pStyle w:val="Compact"/>
              <w:jc w:val="right"/>
            </w:pPr>
            <w:r>
              <w:t xml:space="preserve">52.9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migr.ZDpol.2001</w:t>
            </w:r>
          </w:p>
        </w:tc>
        <w:tc>
          <w:p>
            <w:pPr>
              <w:pStyle w:val="Compact"/>
              <w:jc w:val="right"/>
            </w:pPr>
            <w:r>
              <w:t xml:space="preserve">53.2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migr.ZD.2011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migr.ZD.2001</w:t>
            </w:r>
          </w:p>
        </w:tc>
        <w:tc>
          <w:p>
            <w:pPr>
              <w:pStyle w:val="Compact"/>
              <w:jc w:val="right"/>
            </w:pPr>
            <w:r>
              <w:t xml:space="preserve">51.8</w:t>
            </w:r>
          </w:p>
        </w:tc>
      </w:tr>
    </w:tbl>
    <w:p>
      <w:pPr>
        <w:pStyle w:val="TableCaption"/>
      </w:pPr>
      <w:r>
        <w:t xml:space="preserve">pomoćni 4.1</w:t>
      </w:r>
    </w:p>
    <w:p>
      <w:pPr>
        <w:pStyle w:val="Heading4"/>
      </w:pPr>
      <w:bookmarkStart w:id="25" w:name="tablica-5-aktivnost-i-zaposlenost"/>
      <w:bookmarkEnd w:id="25"/>
      <w:r>
        <w:t xml:space="preserve">tablica 5: aktivnost i zaposlenost</w:t>
      </w:r>
    </w:p>
    <w:tbl>
      <w:tblPr>
        <w:tblStyle w:val="TableNormal"/>
        <w:tblW w:type="pct" w:w="0.0"/>
        <w:tblCaption w:val="Pokazatelji zaposlenosti i aktivnosti stanovništva zadarskog poluotoka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SK_MB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zap.2001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zap.2011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akt.2001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akt.2011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135500</w:t>
            </w:r>
          </w:p>
        </w:tc>
        <w:tc>
          <w:p>
            <w:pPr>
              <w:pStyle w:val="Compact"/>
              <w:jc w:val="right"/>
            </w:pPr>
            <w:r>
              <w:t xml:space="preserve">48.6</w:t>
            </w:r>
          </w:p>
        </w:tc>
        <w:tc>
          <w:p>
            <w:pPr>
              <w:pStyle w:val="Compact"/>
              <w:jc w:val="right"/>
            </w:pPr>
            <w:r>
              <w:t xml:space="preserve">58.9</w:t>
            </w:r>
          </w:p>
        </w:tc>
        <w:tc>
          <w:p>
            <w:pPr>
              <w:pStyle w:val="Compact"/>
              <w:jc w:val="right"/>
            </w:pPr>
            <w:r>
              <w:t xml:space="preserve">63.8</w:t>
            </w:r>
          </w:p>
        </w:tc>
        <w:tc>
          <w:p>
            <w:pPr>
              <w:pStyle w:val="Compact"/>
              <w:jc w:val="right"/>
            </w:pPr>
            <w:r>
              <w:t xml:space="preserve">65.4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135518</w:t>
            </w:r>
          </w:p>
        </w:tc>
        <w:tc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p>
            <w:pPr>
              <w:pStyle w:val="Compact"/>
              <w:jc w:val="right"/>
            </w:pPr>
            <w:r>
              <w:t xml:space="preserve">53.0</w:t>
            </w:r>
          </w:p>
        </w:tc>
        <w:tc>
          <w:p>
            <w:pPr>
              <w:pStyle w:val="Compact"/>
              <w:jc w:val="right"/>
            </w:pPr>
            <w:r>
              <w:t xml:space="preserve">65.1</w:t>
            </w:r>
          </w:p>
        </w:tc>
        <w:tc>
          <w:p>
            <w:pPr>
              <w:pStyle w:val="Compact"/>
              <w:jc w:val="right"/>
            </w:pPr>
            <w:r>
              <w:t xml:space="preserve">61.4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135526</w:t>
            </w:r>
          </w:p>
        </w:tc>
        <w:tc>
          <w:p>
            <w:pPr>
              <w:pStyle w:val="Compact"/>
              <w:jc w:val="right"/>
            </w:pPr>
            <w:r>
              <w:t xml:space="preserve">50.9</w:t>
            </w:r>
          </w:p>
        </w:tc>
        <w:tc>
          <w:p>
            <w:pPr>
              <w:pStyle w:val="Compact"/>
              <w:jc w:val="right"/>
            </w:pPr>
            <w:r>
              <w:t xml:space="preserve">50.2</w:t>
            </w:r>
          </w:p>
        </w:tc>
        <w:tc>
          <w:p>
            <w:pPr>
              <w:pStyle w:val="Compact"/>
              <w:jc w:val="right"/>
            </w:pPr>
            <w:r>
              <w:t xml:space="preserve">66.6</w:t>
            </w:r>
          </w:p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135534</w:t>
            </w:r>
          </w:p>
        </w:tc>
        <w:tc>
          <w:p>
            <w:pPr>
              <w:pStyle w:val="Compact"/>
              <w:jc w:val="right"/>
            </w:pPr>
            <w:r>
              <w:t xml:space="preserve">47.4</w:t>
            </w:r>
          </w:p>
        </w:tc>
        <w:tc>
          <w:p>
            <w:pPr>
              <w:pStyle w:val="Compact"/>
              <w:jc w:val="right"/>
            </w:pPr>
            <w:r>
              <w:t xml:space="preserve">56.6</w:t>
            </w:r>
          </w:p>
        </w:tc>
        <w:tc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p>
            <w:pPr>
              <w:pStyle w:val="Compact"/>
              <w:jc w:val="right"/>
            </w:pPr>
            <w:r>
              <w:t xml:space="preserve">69.0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135542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48.4</w:t>
            </w:r>
          </w:p>
        </w:tc>
        <w:tc>
          <w:p>
            <w:pPr>
              <w:pStyle w:val="Compact"/>
              <w:jc w:val="right"/>
            </w:pPr>
            <w:r>
              <w:t xml:space="preserve">63.6</w:t>
            </w:r>
          </w:p>
        </w:tc>
        <w:tc>
          <w:p>
            <w:pPr>
              <w:pStyle w:val="Compact"/>
              <w:jc w:val="right"/>
            </w:pPr>
            <w:r>
              <w:t xml:space="preserve">64.1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135569</w:t>
            </w:r>
          </w:p>
        </w:tc>
        <w:tc>
          <w:p>
            <w:pPr>
              <w:pStyle w:val="Compact"/>
              <w:jc w:val="right"/>
            </w:pPr>
            <w:r>
              <w:t xml:space="preserve">48.4</w:t>
            </w:r>
          </w:p>
        </w:tc>
        <w:tc>
          <w:p>
            <w:pPr>
              <w:pStyle w:val="Compact"/>
              <w:jc w:val="right"/>
            </w:pPr>
            <w:r>
              <w:t xml:space="preserve">43.5</w:t>
            </w:r>
          </w:p>
        </w:tc>
        <w:tc>
          <w:p>
            <w:pPr>
              <w:pStyle w:val="Compact"/>
              <w:jc w:val="right"/>
            </w:pPr>
            <w:r>
              <w:t xml:space="preserve">65.8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135577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  <w:tc>
          <w:p>
            <w:pPr>
              <w:pStyle w:val="Compact"/>
              <w:jc w:val="right"/>
            </w:pPr>
            <w:r>
              <w:t xml:space="preserve">50.6</w:t>
            </w:r>
          </w:p>
        </w:tc>
        <w:tc>
          <w:p>
            <w:pPr>
              <w:pStyle w:val="Compact"/>
              <w:jc w:val="right"/>
            </w:pPr>
            <w:r>
              <w:t xml:space="preserve">65.1</w:t>
            </w:r>
          </w:p>
        </w:tc>
        <w:tc>
          <w:p>
            <w:pPr>
              <w:pStyle w:val="Compact"/>
              <w:jc w:val="right"/>
            </w:pPr>
            <w:r>
              <w:t xml:space="preserve">58.4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135585</w:t>
            </w:r>
          </w:p>
        </w:tc>
        <w:tc>
          <w:p>
            <w:pPr>
              <w:pStyle w:val="Compact"/>
              <w:jc w:val="right"/>
            </w:pPr>
            <w:r>
              <w:t xml:space="preserve">45.9</w:t>
            </w:r>
          </w:p>
        </w:tc>
        <w:tc>
          <w:p>
            <w:pPr>
              <w:pStyle w:val="Compact"/>
              <w:jc w:val="right"/>
            </w:pPr>
            <w:r>
              <w:t xml:space="preserve">50.3</w:t>
            </w:r>
          </w:p>
        </w:tc>
        <w:tc>
          <w:p>
            <w:pPr>
              <w:pStyle w:val="Compact"/>
              <w:jc w:val="right"/>
            </w:pPr>
            <w:r>
              <w:t xml:space="preserve">68.9</w:t>
            </w:r>
          </w:p>
        </w:tc>
        <w:tc>
          <w:p>
            <w:pPr>
              <w:pStyle w:val="Compact"/>
              <w:jc w:val="right"/>
            </w:pPr>
            <w:r>
              <w:t xml:space="preserve">64.1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135593</w:t>
            </w:r>
          </w:p>
        </w:tc>
        <w:tc>
          <w:p>
            <w:pPr>
              <w:pStyle w:val="Compact"/>
              <w:jc w:val="right"/>
            </w:pPr>
            <w:r>
              <w:t xml:space="preserve">46.9</w:t>
            </w:r>
          </w:p>
        </w:tc>
        <w:tc>
          <w:p>
            <w:pPr>
              <w:pStyle w:val="Compact"/>
              <w:jc w:val="right"/>
            </w:pPr>
            <w:r>
              <w:t xml:space="preserve">49.8</w:t>
            </w:r>
          </w:p>
        </w:tc>
        <w:tc>
          <w:p>
            <w:pPr>
              <w:pStyle w:val="Compact"/>
              <w:jc w:val="right"/>
            </w:pPr>
            <w:r>
              <w:t xml:space="preserve">66.4</w:t>
            </w:r>
          </w:p>
        </w:tc>
        <w:tc>
          <w:p>
            <w:pPr>
              <w:pStyle w:val="Compact"/>
              <w:jc w:val="right"/>
            </w:pPr>
            <w:r>
              <w:t xml:space="preserve">61.7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135607</w:t>
            </w:r>
          </w:p>
        </w:tc>
        <w:tc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p>
            <w:pPr>
              <w:pStyle w:val="Compact"/>
              <w:jc w:val="right"/>
            </w:pPr>
            <w:r>
              <w:t xml:space="preserve">53.1</w:t>
            </w:r>
          </w:p>
        </w:tc>
        <w:tc>
          <w:p>
            <w:pPr>
              <w:pStyle w:val="Compact"/>
              <w:jc w:val="right"/>
            </w:pPr>
            <w:r>
              <w:t xml:space="preserve">62.1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</w:tr>
    </w:tbl>
    <w:p>
      <w:pPr>
        <w:pStyle w:val="TableCaption"/>
      </w:pPr>
      <w:r>
        <w:t xml:space="preserve">Pokazatelji zaposlenosti i aktivnosti stanovništva zadarskog poluotoka</w:t>
      </w:r>
    </w:p>
    <w:tbl>
      <w:tblPr>
        <w:tblStyle w:val="TableNormal"/>
        <w:tblW w:type="pct" w:w="0.0"/>
        <w:tblCaption w:val="pomoćni 5.1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zap.ZDpol.2011</w:t>
            </w:r>
          </w:p>
        </w:tc>
        <w:tc>
          <w:p>
            <w:pPr>
              <w:pStyle w:val="Compact"/>
              <w:jc w:val="right"/>
            </w:pPr>
            <w:r>
              <w:t xml:space="preserve">50.8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zap.ZDpol.2001</w:t>
            </w:r>
          </w:p>
        </w:tc>
        <w:tc>
          <w:p>
            <w:pPr>
              <w:pStyle w:val="Compact"/>
              <w:jc w:val="right"/>
            </w:pPr>
            <w:r>
              <w:t xml:space="preserve">49.9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zap.ZD.2011</w:t>
            </w:r>
          </w:p>
        </w:tc>
        <w:tc>
          <w:p>
            <w:pPr>
              <w:pStyle w:val="Compact"/>
              <w:jc w:val="right"/>
            </w:pPr>
            <w:r>
              <w:t xml:space="preserve">52.9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zap.ZD.2001</w:t>
            </w:r>
          </w:p>
        </w:tc>
        <w:tc>
          <w:p>
            <w:pPr>
              <w:pStyle w:val="Compact"/>
              <w:jc w:val="right"/>
            </w:pPr>
            <w:r>
              <w:t xml:space="preserve">48.2</w:t>
            </w:r>
          </w:p>
        </w:tc>
      </w:tr>
    </w:tbl>
    <w:p>
      <w:pPr>
        <w:pStyle w:val="TableCaption"/>
      </w:pPr>
      <w:r>
        <w:t xml:space="preserve">pomoćni 5.1</w:t>
      </w:r>
    </w:p>
    <w:tbl>
      <w:tblPr>
        <w:tblStyle w:val="TableNormal"/>
        <w:tblW w:type="pct" w:w="0.0"/>
        <w:tblCaption w:val="pomoćni 5.2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akt.ZDpol.2011</w:t>
            </w:r>
          </w:p>
        </w:tc>
        <w:tc>
          <w:p>
            <w:pPr>
              <w:pStyle w:val="Compact"/>
              <w:jc w:val="right"/>
            </w:pPr>
            <w:r>
              <w:t xml:space="preserve">61.1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akt.ZDpol.2001</w:t>
            </w:r>
          </w:p>
        </w:tc>
        <w:tc>
          <w:p>
            <w:pPr>
              <w:pStyle w:val="Compact"/>
              <w:jc w:val="right"/>
            </w:pPr>
            <w:r>
              <w:t xml:space="preserve">65.8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akt.ZD.2011</w:t>
            </w:r>
          </w:p>
        </w:tc>
        <w:tc>
          <w:p>
            <w:pPr>
              <w:pStyle w:val="Compact"/>
              <w:jc w:val="right"/>
            </w:pPr>
            <w:r>
              <w:t xml:space="preserve">63.8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akt.ZD.2001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</w:tr>
    </w:tbl>
    <w:p>
      <w:pPr>
        <w:pStyle w:val="TableCaption"/>
      </w:pPr>
      <w:r>
        <w:t xml:space="preserve">pomoćni 5.2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cb2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DZS tablice v1</dc:title>
  <dc:creator/>
</cp:coreProperties>
</file>