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p>
      <w:pPr>
        <w:spacing w:before="100" w:after="100"/>
        <w:ind w:start="100" w:end="100"/>
        <w:jc w:val="left"/>
      </w:pPr>
      <w:r>
        <w:rPr>
          <w:b/>
          <w:bCs/>
          <w:color w:val="000000"/>
          <w:sz w:val="20"/>
          <w:szCs w:val="20"/>
          <w:shd w:fill="FFFFFF"/>
        </w:rPr>
        <w:t xml:space="preserve">VOR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rPr>
          <w:color w:val="000000"/>
          <w:sz w:val="20"/>
          <w:szCs w:val="20"/>
          <w:shd w:fill="FFFFFF"/>
        </w:rPr>
        <w:t xml:space="preserve">HTML konnte nicht verarbeitet werden.</w:t>
      </w:r>
      <w:r>
        <w:drawing>
          <wp:inline distT="0" distB="0" distL="0" distR="0">
            <wp:extent cx="3810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color w:val="FF0000"/>
          <w:sz w:val="36"/>
          <w:szCs w:val="36"/>
          <w:shd w:fill="FFFFFF"/>
        </w:rPr>
        <w:t xml:space="preserve">NACH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WEITER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CODE_UNCHANGED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9_8ljvgbdqzmgud8ikqn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2026-10-19T11:21:31.055Z</dcterms:created>
  <dcterms:modified xsi:type="dcterms:W3CDTF">2026-10-19T11:21:31.055Z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