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C65911"/>
          <w:sz w:val="28"/>
        </w:rPr>
        <w:t>WEEK 1 TASK</w:t>
      </w:r>
    </w:p>
    <w:p>
      <w:pPr>
        <w:pStyle w:val="Title"/>
        <w:jc w:val="center"/>
      </w:pPr>
      <w:r>
        <w:t>Strategic Planning and Data Exploration in Logistics</w:t>
      </w:r>
    </w:p>
    <w:p>
      <w:pPr>
        <w:jc w:val="center"/>
      </w:pPr>
      <w:r>
        <w:rPr>
          <w:i/>
          <w:sz w:val="24"/>
        </w:rPr>
        <w:t>A planning report for improving delivery reliability, route efficiency, and logistics resource allocation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keepLines/>
              <w:spacing w:after="0"/>
            </w:pPr>
            <w:r/>
            <w:r>
              <w:rPr>
                <w:rFonts w:ascii="Calibri" w:hAnsi="Calibri"/>
                <w:b/>
                <w:color w:val="FFFFFF"/>
                <w:sz w:val="20"/>
              </w:rPr>
              <w:t>Project type</w:t>
            </w:r>
          </w:p>
        </w:tc>
        <w:tc>
          <w:tcPr>
            <w:tcW w:type="dxa" w:w="4968"/>
            <w:vAlign w:val="center"/>
          </w:tcPr>
          <w:p>
            <w:pPr>
              <w:keepLines/>
              <w:spacing w:after="0"/>
            </w:pPr>
            <w:r/>
            <w:r>
              <w:rPr>
                <w:rFonts w:ascii="Calibri" w:hAnsi="Calibri"/>
                <w:b w:val="0"/>
                <w:sz w:val="20"/>
              </w:rPr>
              <w:t>Logistics data analytics planning</w:t>
            </w:r>
          </w:p>
        </w:tc>
      </w:tr>
      <w:tr>
        <w:tc>
          <w:tcPr>
            <w:tcW w:type="dxa" w:w="4968"/>
            <w:vAlign w:val="center"/>
            <w:shd w:fill="17365D"/>
          </w:tcPr>
          <w:p>
            <w:pPr>
              <w:keepLines/>
              <w:spacing w:after="0"/>
            </w:pPr>
            <w:r/>
            <w:r>
              <w:rPr>
                <w:rFonts w:ascii="Calibri" w:hAnsi="Calibri"/>
                <w:b/>
                <w:color w:val="FFFFFF"/>
                <w:sz w:val="20"/>
              </w:rPr>
              <w:t>Primary focus</w:t>
            </w:r>
          </w:p>
        </w:tc>
        <w:tc>
          <w:tcPr>
            <w:tcW w:type="dxa" w:w="4968"/>
            <w:vAlign w:val="center"/>
          </w:tcPr>
          <w:p>
            <w:pPr>
              <w:keepLines/>
              <w:spacing w:after="0"/>
            </w:pPr>
            <w:r/>
            <w:r>
              <w:rPr>
                <w:rFonts w:ascii="Calibri" w:hAnsi="Calibri"/>
                <w:b w:val="0"/>
                <w:sz w:val="20"/>
              </w:rPr>
              <w:t>Delivery delays and route/resource efficiency</w:t>
            </w:r>
          </w:p>
        </w:tc>
      </w:tr>
      <w:tr>
        <w:tc>
          <w:tcPr>
            <w:tcW w:type="dxa" w:w="4968"/>
            <w:vAlign w:val="center"/>
            <w:shd w:fill="17365D"/>
          </w:tcPr>
          <w:p>
            <w:pPr>
              <w:keepLines/>
              <w:spacing w:after="0"/>
            </w:pPr>
            <w:r/>
            <w:r>
              <w:rPr>
                <w:rFonts w:ascii="Calibri" w:hAnsi="Calibri"/>
                <w:b/>
                <w:color w:val="FFFFFF"/>
                <w:sz w:val="20"/>
              </w:rPr>
              <w:t>Proposed tools</w:t>
            </w:r>
          </w:p>
        </w:tc>
        <w:tc>
          <w:tcPr>
            <w:tcW w:type="dxa" w:w="4968"/>
            <w:vAlign w:val="center"/>
          </w:tcPr>
          <w:p>
            <w:pPr>
              <w:keepLines/>
              <w:spacing w:after="0"/>
            </w:pPr>
            <w:r/>
            <w:r>
              <w:rPr>
                <w:rFonts w:ascii="Calibri" w:hAnsi="Calibri"/>
                <w:b w:val="0"/>
                <w:sz w:val="20"/>
              </w:rPr>
              <w:t>Python, pandas, matplotlib/seaborn alternatives, scikit-learn where appropriate</w:t>
            </w:r>
          </w:p>
        </w:tc>
      </w:tr>
      <w:tr>
        <w:tc>
          <w:tcPr>
            <w:tcW w:type="dxa" w:w="4968"/>
            <w:vAlign w:val="center"/>
            <w:shd w:fill="17365D"/>
          </w:tcPr>
          <w:p>
            <w:pPr>
              <w:keepLines/>
              <w:spacing w:after="0"/>
            </w:pPr>
            <w:r/>
            <w:r>
              <w:rPr>
                <w:rFonts w:ascii="Calibri" w:hAnsi="Calibri"/>
                <w:b/>
                <w:color w:val="FFFFFF"/>
                <w:sz w:val="20"/>
              </w:rPr>
              <w:t>Report status</w:t>
            </w:r>
          </w:p>
        </w:tc>
        <w:tc>
          <w:tcPr>
            <w:tcW w:type="dxa" w:w="4968"/>
            <w:vAlign w:val="center"/>
          </w:tcPr>
          <w:p>
            <w:pPr>
              <w:keepLines/>
              <w:spacing w:after="0"/>
            </w:pPr>
            <w:r/>
            <w:r>
              <w:rPr>
                <w:rFonts w:ascii="Calibri" w:hAnsi="Calibri"/>
                <w:b w:val="0"/>
                <w:sz w:val="20"/>
              </w:rPr>
              <w:t>Strategic plan and illustrative code; results require real operational data</w:t>
            </w:r>
          </w:p>
        </w:tc>
      </w:tr>
    </w:tbl>
    <w:p/>
    <w:p>
      <w:pPr>
        <w:jc w:val="center"/>
      </w:pPr>
      <w:r>
        <w:rPr>
          <w:sz w:val="20"/>
        </w:rPr>
        <w:t>Prepared for the Week 1 internship task</w:t>
      </w:r>
    </w:p>
    <w:p>
      <w:r>
        <w:br w:type="page"/>
      </w:r>
    </w:p>
    <w:p>
      <w:pPr>
        <w:pStyle w:val="Heading1"/>
      </w:pPr>
      <w:r>
        <w:t>Executive Summary</w:t>
      </w:r>
    </w:p>
    <w:p>
      <w:r>
        <w:t>This report proposes a practical, data-driven approach for a logistics company that is experiencing late deliveries, uneven route performance, and inefficient use of vehicles and drivers. The project will define measurable key performance indicators (KPIs), review publicly available logistics and transport resources, and set out a reproducible analysis workflow using Python. The plan covers data collection, validation, cleaning, exploratory data analysis (EDA), forecasting, and route/resource optimization. It also explains how regression, clustering, and optimization can support decisions.</w:t>
      </w:r>
    </w:p>
    <w:p>
      <w:r>
        <w:t>This is a strategic planning report, not a claim that an analysis has already been run. No company dataset or verified operational measurements were supplied. Therefore, all expected benefits are hypotheses to test, and no numerical improvement is presented as a measured result. The next step is to obtain a suitable dataset, confirm business definitions, and evaluate the proposed methods against a simple baseline.</w:t>
      </w:r>
    </w:p>
    <w:p>
      <w:pPr>
        <w:pStyle w:val="Heading1"/>
      </w:pPr>
      <w:r>
        <w:t>1. Background Research and Problem Context</w:t>
      </w:r>
    </w:p>
    <w:p>
      <w:r>
        <w:t>Logistics connects inventory, warehousing, transportation, and final delivery. Delays may arise from traffic, long or poorly sequenced routes, inaccurate delivery-time estimates, incomplete addresses, warehouse processing time, vehicle capacity constraints, or demand peaks. Decisions based only on anecdotes can miss recurring patterns across routes, time periods, delivery zones, and shipment types. A structured data analysis can reveal where performance varies and help managers test targeted interventions.</w:t>
      </w:r>
    </w:p>
    <w:p>
      <w:r>
        <w:t>Publicly available sources can provide context and sample data, but they do not automatically represent a particular company. For example, the U.S. Bureau of Transportation Statistics publishes transportation data and indicators; the World Bank's Logistics Performance Index provides country-level logistics context; and public datasets on portals such as Kaggle may provide practice shipment/order records. Any external dataset must be checked for licensing, definitions, coverage, and data quality before use.</w:t>
      </w:r>
    </w:p>
    <w:p>
      <w:pPr>
        <w:pStyle w:val="Heading2"/>
      </w:pPr>
      <w:r>
        <w:t>Research resources to consult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keepLines/>
              <w:spacing w:after="0"/>
            </w:pPr>
            <w:r/>
            <w:r>
              <w:rPr>
                <w:rFonts w:ascii="Calibri" w:hAnsi="Calibri"/>
                <w:b/>
                <w:color w:val="FFFFFF"/>
                <w:sz w:val="18"/>
              </w:rPr>
              <w:t>Resource</w:t>
            </w:r>
          </w:p>
        </w:tc>
        <w:tc>
          <w:tcPr>
            <w:tcW w:type="dxa" w:w="3312"/>
            <w:vAlign w:val="center"/>
            <w:shd w:fill="17365D"/>
          </w:tcPr>
          <w:p>
            <w:pPr>
              <w:keepLines/>
              <w:spacing w:after="0"/>
            </w:pPr>
            <w:r/>
            <w:r>
              <w:rPr>
                <w:rFonts w:ascii="Calibri" w:hAnsi="Calibri"/>
                <w:b/>
                <w:color w:val="FFFFFF"/>
                <w:sz w:val="18"/>
              </w:rPr>
              <w:t>Link</w:t>
            </w:r>
          </w:p>
        </w:tc>
        <w:tc>
          <w:tcPr>
            <w:tcW w:type="dxa" w:w="3312"/>
            <w:vAlign w:val="center"/>
            <w:shd w:fill="17365D"/>
          </w:tcPr>
          <w:p>
            <w:pPr>
              <w:keepLines/>
              <w:spacing w:after="0"/>
            </w:pPr>
            <w:r/>
            <w:r>
              <w:rPr>
                <w:rFonts w:ascii="Calibri" w:hAnsi="Calibri"/>
                <w:b/>
                <w:color w:val="FFFFFF"/>
                <w:sz w:val="18"/>
              </w:rPr>
              <w:t>How it supports this project</w:t>
            </w:r>
          </w:p>
        </w:tc>
      </w:tr>
      <w:tr>
        <w:tc>
          <w:tcPr>
            <w:tcW w:type="dxa" w:w="3312"/>
            <w:vAlign w:val="center"/>
          </w:tcPr>
          <w:p>
            <w:pPr>
              <w:keepLines/>
              <w:spacing w:after="0"/>
            </w:pPr>
            <w:r/>
            <w:r>
              <w:rPr>
                <w:rFonts w:ascii="Calibri" w:hAnsi="Calibri"/>
                <w:b/>
                <w:sz w:val="17"/>
              </w:rPr>
              <w:t>World Bank — Logistics Performance Index (LPI)</w:t>
            </w:r>
          </w:p>
        </w:tc>
        <w:tc>
          <w:tcPr>
            <w:tcW w:type="dxa" w:w="3312"/>
            <w:vAlign w:val="center"/>
          </w:tcPr>
          <w:p>
            <w:pPr>
              <w:keepLines/>
              <w:spacing w:after="0"/>
            </w:pPr>
            <w:r/>
            <w:r>
              <w:rPr>
                <w:rFonts w:ascii="Calibri" w:hAnsi="Calibri"/>
                <w:b w:val="0"/>
                <w:color w:val="0563C1"/>
                <w:sz w:val="16"/>
              </w:rPr>
              <w:t>https://lpi.worldbank.org/</w:t>
            </w:r>
          </w:p>
        </w:tc>
        <w:tc>
          <w:tcPr>
            <w:tcW w:type="dxa" w:w="3312"/>
            <w:vAlign w:val="center"/>
          </w:tcPr>
          <w:p>
            <w:pPr>
              <w:keepLines/>
              <w:spacing w:after="0"/>
            </w:pPr>
            <w:r/>
            <w:r>
              <w:rPr>
                <w:rFonts w:ascii="Calibri" w:hAnsi="Calibri"/>
                <w:b w:val="0"/>
                <w:sz w:val="17"/>
              </w:rPr>
              <w:t>Country-level context on logistics performance; not a substitute for company-level delivery data.</w:t>
            </w:r>
          </w:p>
        </w:tc>
      </w:tr>
      <w:tr>
        <w:tc>
          <w:tcPr>
            <w:tcW w:type="dxa" w:w="3312"/>
            <w:vAlign w:val="center"/>
          </w:tcPr>
          <w:p>
            <w:pPr>
              <w:keepLines/>
              <w:spacing w:after="0"/>
            </w:pPr>
            <w:r/>
            <w:r>
              <w:rPr>
                <w:rFonts w:ascii="Calibri" w:hAnsi="Calibri"/>
                <w:b/>
                <w:sz w:val="17"/>
              </w:rPr>
              <w:t>U.S. Bureau of Transportation Statistics</w:t>
            </w:r>
          </w:p>
        </w:tc>
        <w:tc>
          <w:tcPr>
            <w:tcW w:type="dxa" w:w="3312"/>
            <w:vAlign w:val="center"/>
          </w:tcPr>
          <w:p>
            <w:pPr>
              <w:keepLines/>
              <w:spacing w:after="0"/>
            </w:pPr>
            <w:r/>
            <w:r>
              <w:rPr>
                <w:rFonts w:ascii="Calibri" w:hAnsi="Calibri"/>
                <w:b w:val="0"/>
                <w:color w:val="0563C1"/>
                <w:sz w:val="16"/>
              </w:rPr>
              <w:t>https://www.bts.gov/</w:t>
            </w:r>
          </w:p>
        </w:tc>
        <w:tc>
          <w:tcPr>
            <w:tcW w:type="dxa" w:w="3312"/>
            <w:vAlign w:val="center"/>
          </w:tcPr>
          <w:p>
            <w:pPr>
              <w:keepLines/>
              <w:spacing w:after="0"/>
            </w:pPr>
            <w:r/>
            <w:r>
              <w:rPr>
                <w:rFonts w:ascii="Calibri" w:hAnsi="Calibri"/>
                <w:b w:val="0"/>
                <w:sz w:val="17"/>
              </w:rPr>
              <w:t>Public transportation statistics and contextual indicators.</w:t>
            </w:r>
          </w:p>
        </w:tc>
      </w:tr>
      <w:tr>
        <w:tc>
          <w:tcPr>
            <w:tcW w:type="dxa" w:w="3312"/>
            <w:vAlign w:val="center"/>
          </w:tcPr>
          <w:p>
            <w:pPr>
              <w:keepLines/>
              <w:spacing w:after="0"/>
            </w:pPr>
            <w:r/>
            <w:r>
              <w:rPr>
                <w:rFonts w:ascii="Calibri" w:hAnsi="Calibri"/>
                <w:b/>
                <w:sz w:val="17"/>
              </w:rPr>
              <w:t>Python pandas documentation</w:t>
            </w:r>
          </w:p>
        </w:tc>
        <w:tc>
          <w:tcPr>
            <w:tcW w:type="dxa" w:w="3312"/>
            <w:vAlign w:val="center"/>
          </w:tcPr>
          <w:p>
            <w:pPr>
              <w:keepLines/>
              <w:spacing w:after="0"/>
            </w:pPr>
            <w:r/>
            <w:r>
              <w:rPr>
                <w:rFonts w:ascii="Calibri" w:hAnsi="Calibri"/>
                <w:b w:val="0"/>
                <w:color w:val="0563C1"/>
                <w:sz w:val="16"/>
              </w:rPr>
              <w:t>https://pandas.pydata.org/docs/</w:t>
            </w:r>
          </w:p>
        </w:tc>
        <w:tc>
          <w:tcPr>
            <w:tcW w:type="dxa" w:w="3312"/>
            <w:vAlign w:val="center"/>
          </w:tcPr>
          <w:p>
            <w:pPr>
              <w:keepLines/>
              <w:spacing w:after="0"/>
            </w:pPr>
            <w:r/>
            <w:r>
              <w:rPr>
                <w:rFonts w:ascii="Calibri" w:hAnsi="Calibri"/>
                <w:b w:val="0"/>
                <w:sz w:val="17"/>
              </w:rPr>
              <w:t>Data loading, transformation, validation, and analysis.</w:t>
            </w:r>
          </w:p>
        </w:tc>
      </w:tr>
      <w:tr>
        <w:tc>
          <w:tcPr>
            <w:tcW w:type="dxa" w:w="3312"/>
            <w:vAlign w:val="center"/>
          </w:tcPr>
          <w:p>
            <w:pPr>
              <w:keepLines/>
              <w:spacing w:after="0"/>
            </w:pPr>
            <w:r/>
            <w:r>
              <w:rPr>
                <w:rFonts w:ascii="Calibri" w:hAnsi="Calibri"/>
                <w:b/>
                <w:sz w:val="17"/>
              </w:rPr>
              <w:t>scikit-learn documentation</w:t>
            </w:r>
          </w:p>
        </w:tc>
        <w:tc>
          <w:tcPr>
            <w:tcW w:type="dxa" w:w="3312"/>
            <w:vAlign w:val="center"/>
          </w:tcPr>
          <w:p>
            <w:pPr>
              <w:keepLines/>
              <w:spacing w:after="0"/>
            </w:pPr>
            <w:r/>
            <w:r>
              <w:rPr>
                <w:rFonts w:ascii="Calibri" w:hAnsi="Calibri"/>
                <w:b w:val="0"/>
                <w:color w:val="0563C1"/>
                <w:sz w:val="16"/>
              </w:rPr>
              <w:t>https://scikit-learn.org/stable/</w:t>
            </w:r>
          </w:p>
        </w:tc>
        <w:tc>
          <w:tcPr>
            <w:tcW w:type="dxa" w:w="3312"/>
            <w:vAlign w:val="center"/>
          </w:tcPr>
          <w:p>
            <w:pPr>
              <w:keepLines/>
              <w:spacing w:after="0"/>
            </w:pPr>
            <w:r/>
            <w:r>
              <w:rPr>
                <w:rFonts w:ascii="Calibri" w:hAnsi="Calibri"/>
                <w:b w:val="0"/>
                <w:sz w:val="17"/>
              </w:rPr>
              <w:t>Model evaluation, regression, clustering, and preprocessing guidance.</w:t>
            </w:r>
          </w:p>
        </w:tc>
      </w:tr>
      <w:tr>
        <w:tc>
          <w:tcPr>
            <w:tcW w:type="dxa" w:w="3312"/>
            <w:vAlign w:val="center"/>
          </w:tcPr>
          <w:p>
            <w:pPr>
              <w:keepLines/>
              <w:spacing w:after="0"/>
            </w:pPr>
            <w:r/>
            <w:r>
              <w:rPr>
                <w:rFonts w:ascii="Calibri" w:hAnsi="Calibri"/>
                <w:b/>
                <w:sz w:val="17"/>
              </w:rPr>
              <w:t>Google OR-Tools documentation</w:t>
            </w:r>
          </w:p>
        </w:tc>
        <w:tc>
          <w:tcPr>
            <w:tcW w:type="dxa" w:w="3312"/>
            <w:vAlign w:val="center"/>
          </w:tcPr>
          <w:p>
            <w:pPr>
              <w:keepLines/>
              <w:spacing w:after="0"/>
            </w:pPr>
            <w:r/>
            <w:r>
              <w:rPr>
                <w:rFonts w:ascii="Calibri" w:hAnsi="Calibri"/>
                <w:b w:val="0"/>
                <w:color w:val="0563C1"/>
                <w:sz w:val="16"/>
              </w:rPr>
              <w:t>https://developers.google.com/optimization</w:t>
            </w:r>
          </w:p>
        </w:tc>
        <w:tc>
          <w:tcPr>
            <w:tcW w:type="dxa" w:w="3312"/>
            <w:vAlign w:val="center"/>
          </w:tcPr>
          <w:p>
            <w:pPr>
              <w:keepLines/>
              <w:spacing w:after="0"/>
            </w:pPr>
            <w:r/>
            <w:r>
              <w:rPr>
                <w:rFonts w:ascii="Calibri" w:hAnsi="Calibri"/>
                <w:b w:val="0"/>
                <w:sz w:val="17"/>
              </w:rPr>
              <w:t>Optimization approaches, including routing and resource-allocation problems.</w:t>
            </w:r>
          </w:p>
        </w:tc>
      </w:tr>
      <w:tr>
        <w:tc>
          <w:tcPr>
            <w:tcW w:type="dxa" w:w="3312"/>
            <w:vAlign w:val="center"/>
          </w:tcPr>
          <w:p>
            <w:pPr>
              <w:keepLines/>
              <w:spacing w:after="0"/>
            </w:pPr>
            <w:r/>
            <w:r>
              <w:rPr>
                <w:rFonts w:ascii="Calibri" w:hAnsi="Calibri"/>
                <w:b/>
                <w:sz w:val="17"/>
              </w:rPr>
              <w:t>Kaggle datasets</w:t>
            </w:r>
          </w:p>
        </w:tc>
        <w:tc>
          <w:tcPr>
            <w:tcW w:type="dxa" w:w="3312"/>
            <w:vAlign w:val="center"/>
          </w:tcPr>
          <w:p>
            <w:pPr>
              <w:keepLines/>
              <w:spacing w:after="0"/>
            </w:pPr>
            <w:r/>
            <w:r>
              <w:rPr>
                <w:rFonts w:ascii="Calibri" w:hAnsi="Calibri"/>
                <w:b w:val="0"/>
                <w:color w:val="0563C1"/>
                <w:sz w:val="16"/>
              </w:rPr>
              <w:t>https://www.kaggle.com/datasets</w:t>
            </w:r>
          </w:p>
        </w:tc>
        <w:tc>
          <w:tcPr>
            <w:tcW w:type="dxa" w:w="3312"/>
            <w:vAlign w:val="center"/>
          </w:tcPr>
          <w:p>
            <w:pPr>
              <w:keepLines/>
              <w:spacing w:after="0"/>
            </w:pPr>
            <w:r/>
            <w:r>
              <w:rPr>
                <w:rFonts w:ascii="Calibri" w:hAnsi="Calibri"/>
                <w:b w:val="0"/>
                <w:sz w:val="17"/>
              </w:rPr>
              <w:t>Potential practice datasets; inspect each dataset's source, license, and data dictionary before use.</w:t>
            </w:r>
          </w:p>
        </w:tc>
      </w:tr>
    </w:tbl>
    <w:p>
      <w:pPr>
        <w:pStyle w:val="Heading1"/>
      </w:pPr>
      <w:r>
        <w:t>2. Project Definition and Logistics Scenario</w:t>
      </w:r>
    </w:p>
    <w:p>
      <w:pPr>
        <w:pStyle w:val="Heading2"/>
      </w:pPr>
      <w:r>
        <w:t>Scenario</w:t>
      </w:r>
    </w:p>
    <w:p>
      <w:r>
        <w:t>Assume a regional e-commerce logistics operator handles customer orders from one or more distribution centres and delivers them to multiple zones. Managers report that some orders arrive late, some routes require excessive distance or time, and vehicle capacity is not always used consistently. The proposed project will investigate the factors associated with delivery lateness and identify practical opportunities to improve route planning and resource allocation.</w:t>
      </w:r>
    </w:p>
    <w:p>
      <w:pPr>
        <w:pStyle w:val="Heading2"/>
      </w:pPr>
      <w:r>
        <w:t>Problem statement</w:t>
      </w:r>
    </w:p>
    <w:p>
      <w:r>
        <w:t>How can shipment, route, timing, and capacity data be used to measure current delivery performance, understand the main patterns associated with delays, forecast delivery duration where appropriate, and recommend feasible improvements without compromising safety or service quality?</w:t>
      </w:r>
    </w:p>
    <w:p>
      <w:pPr>
        <w:pStyle w:val="Heading2"/>
      </w:pPr>
      <w:r>
        <w:t>Scope</w:t>
      </w:r>
    </w:p>
    <w:p>
      <w:pPr>
        <w:pStyle w:val="ListBullet"/>
        <w:spacing w:after="40"/>
      </w:pPr>
      <w:r>
        <w:t>Measure delivery timeliness, delivery duration, distance, cost, and capacity utilization where fields are available.</w:t>
      </w:r>
    </w:p>
    <w:p>
      <w:pPr>
        <w:pStyle w:val="ListBullet"/>
        <w:spacing w:after="40"/>
      </w:pPr>
      <w:r>
        <w:t>Compare performance by route, delivery zone, weekday, time window, shipment type, and distribution centre when those fields exist.</w:t>
      </w:r>
    </w:p>
    <w:p>
      <w:pPr>
        <w:pStyle w:val="ListBullet"/>
        <w:spacing w:after="40"/>
      </w:pPr>
      <w:r>
        <w:t>Build a baseline analysis before attempting prediction or optimization.</w:t>
      </w:r>
    </w:p>
    <w:p>
      <w:pPr>
        <w:pStyle w:val="ListBullet"/>
        <w:spacing w:after="40"/>
      </w:pPr>
      <w:r>
        <w:t>Use Python for reproducible data preparation, EDA, and illustrative modeling.</w:t>
      </w:r>
    </w:p>
    <w:p>
      <w:pPr>
        <w:pStyle w:val="ListBullet"/>
        <w:spacing w:after="40"/>
      </w:pPr>
      <w:r>
        <w:t>Provide decision support, not automatic dispatch decisions; operational staff must validate recommendations.</w:t>
      </w:r>
    </w:p>
    <w:p>
      <w:pPr>
        <w:pStyle w:val="Heading2"/>
      </w:pPr>
      <w:r>
        <w:t>Out of scope</w:t>
      </w:r>
    </w:p>
    <w:p>
      <w:pPr>
        <w:pStyle w:val="ListBullet"/>
        <w:spacing w:after="40"/>
      </w:pPr>
      <w:r>
        <w:t>Claiming measured savings before evaluating real data.</w:t>
      </w:r>
    </w:p>
    <w:p>
      <w:pPr>
        <w:pStyle w:val="ListBullet"/>
        <w:spacing w:after="40"/>
      </w:pPr>
      <w:r>
        <w:t>Making safety-critical routing decisions without verified constraints and human review.</w:t>
      </w:r>
    </w:p>
    <w:p>
      <w:pPr>
        <w:pStyle w:val="ListBullet"/>
        <w:spacing w:after="40"/>
      </w:pPr>
      <w:r>
        <w:t>Using personal customer data beyond what is necessary and authorized.</w:t>
      </w:r>
    </w:p>
    <w:p>
      <w:pPr>
        <w:pStyle w:val="ListBullet"/>
        <w:spacing w:after="40"/>
      </w:pPr>
      <w:r>
        <w:t>Assuming a public practice dataset represents the operator's actual performance.</w:t>
      </w:r>
    </w:p>
    <w:p>
      <w:pPr>
        <w:pStyle w:val="Heading1"/>
      </w:pPr>
      <w:r>
        <w:t>3. Project Objectives</w:t>
      </w:r>
    </w:p>
    <w:p>
      <w:pPr>
        <w:pStyle w:val="ListNumber"/>
        <w:spacing w:after="40"/>
      </w:pPr>
      <w:r>
        <w:t>Define a realistic logistics scenario involving delivery operations, route efficiency, and resource allocation.</w:t>
      </w:r>
    </w:p>
    <w:p>
      <w:pPr>
        <w:pStyle w:val="ListNumber"/>
        <w:spacing w:after="40"/>
      </w:pPr>
      <w:r>
        <w:t>Identify relevant KPIs and document their definitions, units, and calculation rules.</w:t>
      </w:r>
    </w:p>
    <w:p>
      <w:pPr>
        <w:pStyle w:val="ListNumber"/>
        <w:spacing w:after="40"/>
      </w:pPr>
      <w:r>
        <w:t>Review publicly available resources and select a suitable dataset with a clear source and data dictionary.</w:t>
      </w:r>
    </w:p>
    <w:p>
      <w:pPr>
        <w:pStyle w:val="ListNumber"/>
        <w:spacing w:after="40"/>
      </w:pPr>
      <w:r>
        <w:t>Assess whether data science methods—such as regression, clustering, and optimization—fit the business problem.</w:t>
      </w:r>
    </w:p>
    <w:p>
      <w:pPr>
        <w:pStyle w:val="ListNumber"/>
        <w:spacing w:after="40"/>
      </w:pPr>
      <w:r>
        <w:t>Create an end-to-end roadmap covering collection, cleaning, EDA, predictive modeling, evaluation, and communication.</w:t>
      </w:r>
    </w:p>
    <w:p>
      <w:pPr>
        <w:pStyle w:val="ListNumber"/>
        <w:spacing w:after="40"/>
      </w:pPr>
      <w:r>
        <w:t>Provide Python pseudocode or code snippets that demonstrate the proposed analysis.</w:t>
      </w:r>
    </w:p>
    <w:p>
      <w:pPr>
        <w:pStyle w:val="ListNumber"/>
        <w:spacing w:after="40"/>
      </w:pPr>
      <w:r>
        <w:t>Explain expected outcomes and how evidence could support logistics decision-making.</w:t>
      </w:r>
    </w:p>
    <w:p>
      <w:pPr>
        <w:pStyle w:val="Heading1"/>
      </w:pPr>
      <w:r>
        <w:t>4. Data Requirements and Collection Plan</w:t>
      </w:r>
    </w:p>
    <w:p>
      <w:r>
        <w:t>The preferred dataset is shipment- or order-level operational data with a unique shipment ID. Obtain data from authorized transport-management, warehouse-management, order-management, or delivery records. If internal data are unavailable, use a public dataset only for demonstration and clearly label its limitations.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keepLines/>
              <w:spacing w:after="0"/>
            </w:pPr>
            <w:r/>
            <w:r>
              <w:rPr>
                <w:rFonts w:ascii="Calibri" w:hAnsi="Calibri"/>
                <w:b/>
                <w:color w:val="FFFFFF"/>
                <w:sz w:val="18"/>
              </w:rPr>
              <w:t>Field</w:t>
            </w:r>
          </w:p>
        </w:tc>
        <w:tc>
          <w:tcPr>
            <w:tcW w:type="dxa" w:w="3312"/>
            <w:vAlign w:val="center"/>
            <w:shd w:fill="17365D"/>
          </w:tcPr>
          <w:p>
            <w:pPr>
              <w:keepLines/>
              <w:spacing w:after="0"/>
            </w:pPr>
            <w:r/>
            <w:r>
              <w:rPr>
                <w:rFonts w:ascii="Calibri" w:hAnsi="Calibri"/>
                <w:b/>
                <w:color w:val="FFFFFF"/>
                <w:sz w:val="18"/>
              </w:rPr>
              <w:t>Purpose</w:t>
            </w:r>
          </w:p>
        </w:tc>
        <w:tc>
          <w:tcPr>
            <w:tcW w:type="dxa" w:w="3312"/>
            <w:vAlign w:val="center"/>
            <w:shd w:fill="17365D"/>
          </w:tcPr>
          <w:p>
            <w:pPr>
              <w:keepLines/>
              <w:spacing w:after="0"/>
            </w:pPr>
            <w:r/>
            <w:r>
              <w:rPr>
                <w:rFonts w:ascii="Calibri" w:hAnsi="Calibri"/>
                <w:b/>
                <w:color w:val="FFFFFF"/>
                <w:sz w:val="18"/>
              </w:rPr>
              <w:t>Quality checks</w:t>
            </w:r>
          </w:p>
        </w:tc>
      </w:tr>
      <w:tr>
        <w:tc>
          <w:tcPr>
            <w:tcW w:type="dxa" w:w="3312"/>
            <w:vAlign w:val="center"/>
          </w:tcPr>
          <w:p>
            <w:pPr>
              <w:keepLines/>
              <w:spacing w:after="0"/>
            </w:pPr>
            <w:r/>
            <w:r>
              <w:rPr>
                <w:rFonts w:ascii="Calibri" w:hAnsi="Calibri"/>
                <w:b/>
                <w:sz w:val="16"/>
              </w:rPr>
              <w:t>shipment_id</w:t>
            </w:r>
          </w:p>
        </w:tc>
        <w:tc>
          <w:tcPr>
            <w:tcW w:type="dxa" w:w="3312"/>
            <w:vAlign w:val="center"/>
          </w:tcPr>
          <w:p>
            <w:pPr>
              <w:keepLines/>
              <w:spacing w:after="0"/>
            </w:pPr>
            <w:r/>
            <w:r>
              <w:rPr>
                <w:rFonts w:ascii="Calibri" w:hAnsi="Calibri"/>
                <w:b w:val="0"/>
                <w:sz w:val="16"/>
              </w:rPr>
              <w:t>Unique record key</w:t>
            </w:r>
          </w:p>
        </w:tc>
        <w:tc>
          <w:tcPr>
            <w:tcW w:type="dxa" w:w="3312"/>
            <w:vAlign w:val="center"/>
          </w:tcPr>
          <w:p>
            <w:pPr>
              <w:keepLines/>
              <w:spacing w:after="0"/>
            </w:pPr>
            <w:r/>
            <w:r>
              <w:rPr>
                <w:rFonts w:ascii="Calibri" w:hAnsi="Calibri"/>
                <w:b w:val="0"/>
                <w:sz w:val="16"/>
              </w:rPr>
              <w:t>Check uniqueness; investigate duplicates</w:t>
            </w:r>
          </w:p>
        </w:tc>
      </w:tr>
      <w:tr>
        <w:tc>
          <w:tcPr>
            <w:tcW w:type="dxa" w:w="3312"/>
            <w:vAlign w:val="center"/>
          </w:tcPr>
          <w:p>
            <w:pPr>
              <w:keepLines/>
              <w:spacing w:after="0"/>
            </w:pPr>
            <w:r/>
            <w:r>
              <w:rPr>
                <w:rFonts w:ascii="Calibri" w:hAnsi="Calibri"/>
                <w:b/>
                <w:sz w:val="16"/>
              </w:rPr>
              <w:t>order_date / dispatch_time</w:t>
            </w:r>
          </w:p>
        </w:tc>
        <w:tc>
          <w:tcPr>
            <w:tcW w:type="dxa" w:w="3312"/>
            <w:vAlign w:val="center"/>
          </w:tcPr>
          <w:p>
            <w:pPr>
              <w:keepLines/>
              <w:spacing w:after="0"/>
            </w:pPr>
            <w:r/>
            <w:r>
              <w:rPr>
                <w:rFonts w:ascii="Calibri" w:hAnsi="Calibri"/>
                <w:b w:val="0"/>
                <w:sz w:val="16"/>
              </w:rPr>
              <w:t>Order and dispatch timing</w:t>
            </w:r>
          </w:p>
        </w:tc>
        <w:tc>
          <w:tcPr>
            <w:tcW w:type="dxa" w:w="3312"/>
            <w:vAlign w:val="center"/>
          </w:tcPr>
          <w:p>
            <w:pPr>
              <w:keepLines/>
              <w:spacing w:after="0"/>
            </w:pPr>
            <w:r/>
            <w:r>
              <w:rPr>
                <w:rFonts w:ascii="Calibri" w:hAnsi="Calibri"/>
                <w:b w:val="0"/>
                <w:sz w:val="16"/>
              </w:rPr>
              <w:t>Parse to consistent datetime and timezone</w:t>
            </w:r>
          </w:p>
        </w:tc>
      </w:tr>
      <w:tr>
        <w:tc>
          <w:tcPr>
            <w:tcW w:type="dxa" w:w="3312"/>
            <w:vAlign w:val="center"/>
          </w:tcPr>
          <w:p>
            <w:pPr>
              <w:keepLines/>
              <w:spacing w:after="0"/>
            </w:pPr>
            <w:r/>
            <w:r>
              <w:rPr>
                <w:rFonts w:ascii="Calibri" w:hAnsi="Calibri"/>
                <w:b/>
                <w:sz w:val="16"/>
              </w:rPr>
              <w:t>promised_delivery_time</w:t>
            </w:r>
          </w:p>
        </w:tc>
        <w:tc>
          <w:tcPr>
            <w:tcW w:type="dxa" w:w="3312"/>
            <w:vAlign w:val="center"/>
          </w:tcPr>
          <w:p>
            <w:pPr>
              <w:keepLines/>
              <w:spacing w:after="0"/>
            </w:pPr>
            <w:r/>
            <w:r>
              <w:rPr>
                <w:rFonts w:ascii="Calibri" w:hAnsi="Calibri"/>
                <w:b w:val="0"/>
                <w:sz w:val="16"/>
              </w:rPr>
              <w:t>Committed delivery deadline</w:t>
            </w:r>
          </w:p>
        </w:tc>
        <w:tc>
          <w:tcPr>
            <w:tcW w:type="dxa" w:w="3312"/>
            <w:vAlign w:val="center"/>
          </w:tcPr>
          <w:p>
            <w:pPr>
              <w:keepLines/>
              <w:spacing w:after="0"/>
            </w:pPr>
            <w:r/>
            <w:r>
              <w:rPr>
                <w:rFonts w:ascii="Calibri" w:hAnsi="Calibri"/>
                <w:b w:val="0"/>
                <w:sz w:val="16"/>
              </w:rPr>
              <w:t>Confirm business definition and timezone</w:t>
            </w:r>
          </w:p>
        </w:tc>
      </w:tr>
      <w:tr>
        <w:tc>
          <w:tcPr>
            <w:tcW w:type="dxa" w:w="3312"/>
            <w:vAlign w:val="center"/>
          </w:tcPr>
          <w:p>
            <w:pPr>
              <w:keepLines/>
              <w:spacing w:after="0"/>
            </w:pPr>
            <w:r/>
            <w:r>
              <w:rPr>
                <w:rFonts w:ascii="Calibri" w:hAnsi="Calibri"/>
                <w:b/>
                <w:sz w:val="16"/>
              </w:rPr>
              <w:t>actual_delivery_time</w:t>
            </w:r>
          </w:p>
        </w:tc>
        <w:tc>
          <w:tcPr>
            <w:tcW w:type="dxa" w:w="3312"/>
            <w:vAlign w:val="center"/>
          </w:tcPr>
          <w:p>
            <w:pPr>
              <w:keepLines/>
              <w:spacing w:after="0"/>
            </w:pPr>
            <w:r/>
            <w:r>
              <w:rPr>
                <w:rFonts w:ascii="Calibri" w:hAnsi="Calibri"/>
                <w:b w:val="0"/>
                <w:sz w:val="16"/>
              </w:rPr>
              <w:t>Observed completion time</w:t>
            </w:r>
          </w:p>
        </w:tc>
        <w:tc>
          <w:tcPr>
            <w:tcW w:type="dxa" w:w="3312"/>
            <w:vAlign w:val="center"/>
          </w:tcPr>
          <w:p>
            <w:pPr>
              <w:keepLines/>
              <w:spacing w:after="0"/>
            </w:pPr>
            <w:r/>
            <w:r>
              <w:rPr>
                <w:rFonts w:ascii="Calibri" w:hAnsi="Calibri"/>
                <w:b w:val="0"/>
                <w:sz w:val="16"/>
              </w:rPr>
              <w:t>Check missing values and impossible ordering</w:t>
            </w:r>
          </w:p>
        </w:tc>
      </w:tr>
      <w:tr>
        <w:tc>
          <w:tcPr>
            <w:tcW w:type="dxa" w:w="3312"/>
            <w:vAlign w:val="center"/>
          </w:tcPr>
          <w:p>
            <w:pPr>
              <w:keepLines/>
              <w:spacing w:after="0"/>
            </w:pPr>
            <w:r/>
            <w:r>
              <w:rPr>
                <w:rFonts w:ascii="Calibri" w:hAnsi="Calibri"/>
                <w:b/>
                <w:sz w:val="16"/>
              </w:rPr>
              <w:t>origin / destination_zone</w:t>
            </w:r>
          </w:p>
        </w:tc>
        <w:tc>
          <w:tcPr>
            <w:tcW w:type="dxa" w:w="3312"/>
            <w:vAlign w:val="center"/>
          </w:tcPr>
          <w:p>
            <w:pPr>
              <w:keepLines/>
              <w:spacing w:after="0"/>
            </w:pPr>
            <w:r/>
            <w:r>
              <w:rPr>
                <w:rFonts w:ascii="Calibri" w:hAnsi="Calibri"/>
                <w:b w:val="0"/>
                <w:sz w:val="16"/>
              </w:rPr>
              <w:t>Start and delivery area</w:t>
            </w:r>
          </w:p>
        </w:tc>
        <w:tc>
          <w:tcPr>
            <w:tcW w:type="dxa" w:w="3312"/>
            <w:vAlign w:val="center"/>
          </w:tcPr>
          <w:p>
            <w:pPr>
              <w:keepLines/>
              <w:spacing w:after="0"/>
            </w:pPr>
            <w:r/>
            <w:r>
              <w:rPr>
                <w:rFonts w:ascii="Calibri" w:hAnsi="Calibri"/>
                <w:b w:val="0"/>
                <w:sz w:val="16"/>
              </w:rPr>
              <w:t>Standardize names/codes; protect sensitive details</w:t>
            </w:r>
          </w:p>
        </w:tc>
      </w:tr>
      <w:tr>
        <w:tc>
          <w:tcPr>
            <w:tcW w:type="dxa" w:w="3312"/>
            <w:vAlign w:val="center"/>
          </w:tcPr>
          <w:p>
            <w:pPr>
              <w:keepLines/>
              <w:spacing w:after="0"/>
            </w:pPr>
            <w:r/>
            <w:r>
              <w:rPr>
                <w:rFonts w:ascii="Calibri" w:hAnsi="Calibri"/>
                <w:b/>
                <w:sz w:val="16"/>
              </w:rPr>
              <w:t>planned_distance_km / actual_distance_km</w:t>
            </w:r>
          </w:p>
        </w:tc>
        <w:tc>
          <w:tcPr>
            <w:tcW w:type="dxa" w:w="3312"/>
            <w:vAlign w:val="center"/>
          </w:tcPr>
          <w:p>
            <w:pPr>
              <w:keepLines/>
              <w:spacing w:after="0"/>
            </w:pPr>
            <w:r/>
            <w:r>
              <w:rPr>
                <w:rFonts w:ascii="Calibri" w:hAnsi="Calibri"/>
                <w:b w:val="0"/>
                <w:sz w:val="16"/>
              </w:rPr>
              <w:t>Route length</w:t>
            </w:r>
          </w:p>
        </w:tc>
        <w:tc>
          <w:tcPr>
            <w:tcW w:type="dxa" w:w="3312"/>
            <w:vAlign w:val="center"/>
          </w:tcPr>
          <w:p>
            <w:pPr>
              <w:keepLines/>
              <w:spacing w:after="0"/>
            </w:pPr>
            <w:r/>
            <w:r>
              <w:rPr>
                <w:rFonts w:ascii="Calibri" w:hAnsi="Calibri"/>
                <w:b w:val="0"/>
                <w:sz w:val="16"/>
              </w:rPr>
              <w:t>Check units, zeroes, and implausible values</w:t>
            </w:r>
          </w:p>
        </w:tc>
      </w:tr>
      <w:tr>
        <w:tc>
          <w:tcPr>
            <w:tcW w:type="dxa" w:w="3312"/>
            <w:vAlign w:val="center"/>
          </w:tcPr>
          <w:p>
            <w:pPr>
              <w:keepLines/>
              <w:spacing w:after="0"/>
            </w:pPr>
            <w:r/>
            <w:r>
              <w:rPr>
                <w:rFonts w:ascii="Calibri" w:hAnsi="Calibri"/>
                <w:b/>
                <w:sz w:val="16"/>
              </w:rPr>
              <w:t>planned_duration_min / actual_duration_min</w:t>
            </w:r>
          </w:p>
        </w:tc>
        <w:tc>
          <w:tcPr>
            <w:tcW w:type="dxa" w:w="3312"/>
            <w:vAlign w:val="center"/>
          </w:tcPr>
          <w:p>
            <w:pPr>
              <w:keepLines/>
              <w:spacing w:after="0"/>
            </w:pPr>
            <w:r/>
            <w:r>
              <w:rPr>
                <w:rFonts w:ascii="Calibri" w:hAnsi="Calibri"/>
                <w:b w:val="0"/>
                <w:sz w:val="16"/>
              </w:rPr>
              <w:t>Time estimates and actual time</w:t>
            </w:r>
          </w:p>
        </w:tc>
        <w:tc>
          <w:tcPr>
            <w:tcW w:type="dxa" w:w="3312"/>
            <w:vAlign w:val="center"/>
          </w:tcPr>
          <w:p>
            <w:pPr>
              <w:keepLines/>
              <w:spacing w:after="0"/>
            </w:pPr>
            <w:r/>
            <w:r>
              <w:rPr>
                <w:rFonts w:ascii="Calibri" w:hAnsi="Calibri"/>
                <w:b w:val="0"/>
                <w:sz w:val="16"/>
              </w:rPr>
              <w:t>Check calculation method and outliers</w:t>
            </w:r>
          </w:p>
        </w:tc>
      </w:tr>
      <w:tr>
        <w:tc>
          <w:tcPr>
            <w:tcW w:type="dxa" w:w="3312"/>
            <w:vAlign w:val="center"/>
          </w:tcPr>
          <w:p>
            <w:pPr>
              <w:keepLines/>
              <w:spacing w:after="0"/>
            </w:pPr>
            <w:r/>
            <w:r>
              <w:rPr>
                <w:rFonts w:ascii="Calibri" w:hAnsi="Calibri"/>
                <w:b/>
                <w:sz w:val="16"/>
              </w:rPr>
              <w:t>transport_cost</w:t>
            </w:r>
          </w:p>
        </w:tc>
        <w:tc>
          <w:tcPr>
            <w:tcW w:type="dxa" w:w="3312"/>
            <w:vAlign w:val="center"/>
          </w:tcPr>
          <w:p>
            <w:pPr>
              <w:keepLines/>
              <w:spacing w:after="0"/>
            </w:pPr>
            <w:r/>
            <w:r>
              <w:rPr>
                <w:rFonts w:ascii="Calibri" w:hAnsi="Calibri"/>
                <w:b w:val="0"/>
                <w:sz w:val="16"/>
              </w:rPr>
              <w:t>Cost per shipment or trip</w:t>
            </w:r>
          </w:p>
        </w:tc>
        <w:tc>
          <w:tcPr>
            <w:tcW w:type="dxa" w:w="3312"/>
            <w:vAlign w:val="center"/>
          </w:tcPr>
          <w:p>
            <w:pPr>
              <w:keepLines/>
              <w:spacing w:after="0"/>
            </w:pPr>
            <w:r/>
            <w:r>
              <w:rPr>
                <w:rFonts w:ascii="Calibri" w:hAnsi="Calibri"/>
                <w:b w:val="0"/>
                <w:sz w:val="16"/>
              </w:rPr>
              <w:t>Confirm currency and cost components</w:t>
            </w:r>
          </w:p>
        </w:tc>
      </w:tr>
      <w:tr>
        <w:tc>
          <w:tcPr>
            <w:tcW w:type="dxa" w:w="3312"/>
            <w:vAlign w:val="center"/>
          </w:tcPr>
          <w:p>
            <w:pPr>
              <w:keepLines/>
              <w:spacing w:after="0"/>
            </w:pPr>
            <w:r/>
            <w:r>
              <w:rPr>
                <w:rFonts w:ascii="Calibri" w:hAnsi="Calibri"/>
                <w:b/>
                <w:sz w:val="16"/>
              </w:rPr>
              <w:t>vehicle_capacity / load</w:t>
            </w:r>
          </w:p>
        </w:tc>
        <w:tc>
          <w:tcPr>
            <w:tcW w:type="dxa" w:w="3312"/>
            <w:vAlign w:val="center"/>
          </w:tcPr>
          <w:p>
            <w:pPr>
              <w:keepLines/>
              <w:spacing w:after="0"/>
            </w:pPr>
            <w:r/>
            <w:r>
              <w:rPr>
                <w:rFonts w:ascii="Calibri" w:hAnsi="Calibri"/>
                <w:b w:val="0"/>
                <w:sz w:val="16"/>
              </w:rPr>
              <w:t>Capacity utilization</w:t>
            </w:r>
          </w:p>
        </w:tc>
        <w:tc>
          <w:tcPr>
            <w:tcW w:type="dxa" w:w="3312"/>
            <w:vAlign w:val="center"/>
          </w:tcPr>
          <w:p>
            <w:pPr>
              <w:keepLines/>
              <w:spacing w:after="0"/>
            </w:pPr>
            <w:r/>
            <w:r>
              <w:rPr>
                <w:rFonts w:ascii="Calibri" w:hAnsi="Calibri"/>
                <w:b w:val="0"/>
                <w:sz w:val="16"/>
              </w:rPr>
              <w:t>Use consistent units and non-negative values</w:t>
            </w:r>
          </w:p>
        </w:tc>
      </w:tr>
      <w:tr>
        <w:tc>
          <w:tcPr>
            <w:tcW w:type="dxa" w:w="3312"/>
            <w:vAlign w:val="center"/>
          </w:tcPr>
          <w:p>
            <w:pPr>
              <w:keepLines/>
              <w:spacing w:after="0"/>
            </w:pPr>
            <w:r/>
            <w:r>
              <w:rPr>
                <w:rFonts w:ascii="Calibri" w:hAnsi="Calibri"/>
                <w:b/>
                <w:sz w:val="16"/>
              </w:rPr>
              <w:t>delivery_status / delay_reason</w:t>
            </w:r>
          </w:p>
        </w:tc>
        <w:tc>
          <w:tcPr>
            <w:tcW w:type="dxa" w:w="3312"/>
            <w:vAlign w:val="center"/>
          </w:tcPr>
          <w:p>
            <w:pPr>
              <w:keepLines/>
              <w:spacing w:after="0"/>
            </w:pPr>
            <w:r/>
            <w:r>
              <w:rPr>
                <w:rFonts w:ascii="Calibri" w:hAnsi="Calibri"/>
                <w:b w:val="0"/>
                <w:sz w:val="16"/>
              </w:rPr>
              <w:t>Outcome and explanatory category</w:t>
            </w:r>
          </w:p>
        </w:tc>
        <w:tc>
          <w:tcPr>
            <w:tcW w:type="dxa" w:w="3312"/>
            <w:vAlign w:val="center"/>
          </w:tcPr>
          <w:p>
            <w:pPr>
              <w:keepLines/>
              <w:spacing w:after="0"/>
            </w:pPr>
            <w:r/>
            <w:r>
              <w:rPr>
                <w:rFonts w:ascii="Calibri" w:hAnsi="Calibri"/>
                <w:b w:val="0"/>
                <w:sz w:val="16"/>
              </w:rPr>
              <w:t>Standardize categories; document unknown values</w:t>
            </w:r>
          </w:p>
        </w:tc>
      </w:tr>
      <w:tr>
        <w:tc>
          <w:tcPr>
            <w:tcW w:type="dxa" w:w="3312"/>
            <w:vAlign w:val="center"/>
          </w:tcPr>
          <w:p>
            <w:pPr>
              <w:keepLines/>
              <w:spacing w:after="0"/>
            </w:pPr>
            <w:r/>
            <w:r>
              <w:rPr>
                <w:rFonts w:ascii="Calibri" w:hAnsi="Calibri"/>
                <w:b/>
                <w:sz w:val="16"/>
              </w:rPr>
              <w:t>traffic / weather / weekday</w:t>
            </w:r>
          </w:p>
        </w:tc>
        <w:tc>
          <w:tcPr>
            <w:tcW w:type="dxa" w:w="3312"/>
            <w:vAlign w:val="center"/>
          </w:tcPr>
          <w:p>
            <w:pPr>
              <w:keepLines/>
              <w:spacing w:after="0"/>
            </w:pPr>
            <w:r/>
            <w:r>
              <w:rPr>
                <w:rFonts w:ascii="Calibri" w:hAnsi="Calibri"/>
                <w:b w:val="0"/>
                <w:sz w:val="16"/>
              </w:rPr>
              <w:t>Potential context variables</w:t>
            </w:r>
          </w:p>
        </w:tc>
        <w:tc>
          <w:tcPr>
            <w:tcW w:type="dxa" w:w="3312"/>
            <w:vAlign w:val="center"/>
          </w:tcPr>
          <w:p>
            <w:pPr>
              <w:keepLines/>
              <w:spacing w:after="0"/>
            </w:pPr>
            <w:r/>
            <w:r>
              <w:rPr>
                <w:rFonts w:ascii="Calibri" w:hAnsi="Calibri"/>
                <w:b w:val="0"/>
                <w:sz w:val="16"/>
              </w:rPr>
              <w:t>Record source, timestamp, and coverage if joined externally</w:t>
            </w:r>
          </w:p>
        </w:tc>
      </w:tr>
    </w:tbl>
    <w:p>
      <w:r>
        <w:t>Minimum data governance: document source and access date; confirm permission and licensing; keep a data dictionary; remove unnecessary personal identifiers; restrict access; and retain an audit trail of cleaning decisions. Never fabricate missing values or silently discard records.</w:t>
      </w:r>
    </w:p>
    <w:p>
      <w:pPr>
        <w:pStyle w:val="Heading1"/>
      </w:pPr>
      <w:r>
        <w:t>5. Key Performance Indicators (KPIs)</w:t>
      </w:r>
    </w:p>
    <w:p>
      <w:r>
        <w:t>The following KPIs are proposed. The final report should calculate only those supported by available fields and state the denominator and reporting period. KPI definitions must be agreed with operations before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keepLines/>
              <w:spacing w:after="0"/>
            </w:pPr>
            <w:r/>
            <w:r>
              <w:rPr>
                <w:rFonts w:ascii="Calibri" w:hAnsi="Calibri"/>
                <w:b/>
                <w:color w:val="FFFFFF"/>
                <w:sz w:val="17"/>
              </w:rPr>
              <w:t>KPI</w:t>
            </w:r>
          </w:p>
        </w:tc>
        <w:tc>
          <w:tcPr>
            <w:tcW w:type="dxa" w:w="2484"/>
            <w:vAlign w:val="center"/>
            <w:shd w:fill="17365D"/>
          </w:tcPr>
          <w:p>
            <w:pPr>
              <w:keepLines/>
              <w:spacing w:after="0"/>
            </w:pPr>
            <w:r/>
            <w:r>
              <w:rPr>
                <w:rFonts w:ascii="Calibri" w:hAnsi="Calibri"/>
                <w:b/>
                <w:color w:val="FFFFFF"/>
                <w:sz w:val="17"/>
              </w:rPr>
              <w:t>Calculation</w:t>
            </w:r>
          </w:p>
        </w:tc>
        <w:tc>
          <w:tcPr>
            <w:tcW w:type="dxa" w:w="2484"/>
            <w:vAlign w:val="center"/>
            <w:shd w:fill="17365D"/>
          </w:tcPr>
          <w:p>
            <w:pPr>
              <w:keepLines/>
              <w:spacing w:after="0"/>
            </w:pPr>
            <w:r/>
            <w:r>
              <w:rPr>
                <w:rFonts w:ascii="Calibri" w:hAnsi="Calibri"/>
                <w:b/>
                <w:color w:val="FFFFFF"/>
                <w:sz w:val="17"/>
              </w:rPr>
              <w:t>Unit</w:t>
            </w:r>
          </w:p>
        </w:tc>
        <w:tc>
          <w:tcPr>
            <w:tcW w:type="dxa" w:w="2484"/>
            <w:vAlign w:val="center"/>
            <w:shd w:fill="17365D"/>
          </w:tcPr>
          <w:p>
            <w:pPr>
              <w:keepLines/>
              <w:spacing w:after="0"/>
            </w:pPr>
            <w:r/>
            <w:r>
              <w:rPr>
                <w:rFonts w:ascii="Calibri" w:hAnsi="Calibri"/>
                <w:b/>
                <w:color w:val="FFFFFF"/>
                <w:sz w:val="17"/>
              </w:rPr>
              <w:t>Interpretation</w:t>
            </w:r>
          </w:p>
        </w:tc>
      </w:tr>
      <w:tr>
        <w:tc>
          <w:tcPr>
            <w:tcW w:type="dxa" w:w="2484"/>
            <w:vAlign w:val="center"/>
          </w:tcPr>
          <w:p>
            <w:pPr>
              <w:keepLines/>
              <w:spacing w:after="0"/>
            </w:pPr>
            <w:r/>
            <w:r>
              <w:rPr>
                <w:rFonts w:ascii="Calibri" w:hAnsi="Calibri"/>
                <w:b/>
                <w:sz w:val="16"/>
              </w:rPr>
              <w:t>On-time delivery rate</w:t>
            </w:r>
          </w:p>
        </w:tc>
        <w:tc>
          <w:tcPr>
            <w:tcW w:type="dxa" w:w="2484"/>
            <w:vAlign w:val="center"/>
          </w:tcPr>
          <w:p>
            <w:pPr>
              <w:keepLines/>
              <w:spacing w:after="0"/>
            </w:pPr>
            <w:r/>
            <w:r>
              <w:rPr>
                <w:rFonts w:ascii="Calibri" w:hAnsi="Calibri"/>
                <w:b w:val="0"/>
                <w:sz w:val="16"/>
              </w:rPr>
              <w:t>Deliveries completed by or before the promised time ÷ deliveries with valid promise and completion data × 100</w:t>
            </w:r>
          </w:p>
        </w:tc>
        <w:tc>
          <w:tcPr>
            <w:tcW w:type="dxa" w:w="2484"/>
            <w:vAlign w:val="center"/>
          </w:tcPr>
          <w:p>
            <w:pPr>
              <w:keepLines/>
              <w:spacing w:after="0"/>
            </w:pPr>
            <w:r/>
            <w:r>
              <w:rPr>
                <w:rFonts w:ascii="Calibri" w:hAnsi="Calibri"/>
                <w:b w:val="0"/>
                <w:sz w:val="16"/>
              </w:rPr>
              <w:t>%</w:t>
            </w:r>
          </w:p>
        </w:tc>
        <w:tc>
          <w:tcPr>
            <w:tcW w:type="dxa" w:w="2484"/>
            <w:vAlign w:val="center"/>
          </w:tcPr>
          <w:p>
            <w:pPr>
              <w:keepLines/>
              <w:spacing w:after="0"/>
            </w:pPr>
            <w:r/>
            <w:r>
              <w:rPr>
                <w:rFonts w:ascii="Calibri" w:hAnsi="Calibri"/>
                <w:b w:val="0"/>
                <w:sz w:val="16"/>
              </w:rPr>
              <w:t>Primary service measure</w:t>
            </w:r>
          </w:p>
        </w:tc>
      </w:tr>
      <w:tr>
        <w:tc>
          <w:tcPr>
            <w:tcW w:type="dxa" w:w="2484"/>
            <w:vAlign w:val="center"/>
          </w:tcPr>
          <w:p>
            <w:pPr>
              <w:keepLines/>
              <w:spacing w:after="0"/>
            </w:pPr>
            <w:r/>
            <w:r>
              <w:rPr>
                <w:rFonts w:ascii="Calibri" w:hAnsi="Calibri"/>
                <w:b/>
                <w:sz w:val="16"/>
              </w:rPr>
              <w:t>Average delivery lead time</w:t>
            </w:r>
          </w:p>
        </w:tc>
        <w:tc>
          <w:tcPr>
            <w:tcW w:type="dxa" w:w="2484"/>
            <w:vAlign w:val="center"/>
          </w:tcPr>
          <w:p>
            <w:pPr>
              <w:keepLines/>
              <w:spacing w:after="0"/>
            </w:pPr>
            <w:r/>
            <w:r>
              <w:rPr>
                <w:rFonts w:ascii="Calibri" w:hAnsi="Calibri"/>
                <w:b w:val="0"/>
                <w:sz w:val="16"/>
              </w:rPr>
              <w:t>Mean(actual delivery time − order/dispatch time); state which start point is used</w:t>
            </w:r>
          </w:p>
        </w:tc>
        <w:tc>
          <w:tcPr>
            <w:tcW w:type="dxa" w:w="2484"/>
            <w:vAlign w:val="center"/>
          </w:tcPr>
          <w:p>
            <w:pPr>
              <w:keepLines/>
              <w:spacing w:after="0"/>
            </w:pPr>
            <w:r/>
            <w:r>
              <w:rPr>
                <w:rFonts w:ascii="Calibri" w:hAnsi="Calibri"/>
                <w:b w:val="0"/>
                <w:sz w:val="16"/>
              </w:rPr>
              <w:t>Hours or days</w:t>
            </w:r>
          </w:p>
        </w:tc>
        <w:tc>
          <w:tcPr>
            <w:tcW w:type="dxa" w:w="2484"/>
            <w:vAlign w:val="center"/>
          </w:tcPr>
          <w:p>
            <w:pPr>
              <w:keepLines/>
              <w:spacing w:after="0"/>
            </w:pPr>
            <w:r/>
            <w:r>
              <w:rPr>
                <w:rFonts w:ascii="Calibri" w:hAnsi="Calibri"/>
                <w:b w:val="0"/>
                <w:sz w:val="16"/>
              </w:rPr>
              <w:t>Overall speed; compare median too</w:t>
            </w:r>
          </w:p>
        </w:tc>
      </w:tr>
      <w:tr>
        <w:tc>
          <w:tcPr>
            <w:tcW w:type="dxa" w:w="2484"/>
            <w:vAlign w:val="center"/>
          </w:tcPr>
          <w:p>
            <w:pPr>
              <w:keepLines/>
              <w:spacing w:after="0"/>
            </w:pPr>
            <w:r/>
            <w:r>
              <w:rPr>
                <w:rFonts w:ascii="Calibri" w:hAnsi="Calibri"/>
                <w:b/>
                <w:sz w:val="16"/>
              </w:rPr>
              <w:t>Average delay</w:t>
            </w:r>
          </w:p>
        </w:tc>
        <w:tc>
          <w:tcPr>
            <w:tcW w:type="dxa" w:w="2484"/>
            <w:vAlign w:val="center"/>
          </w:tcPr>
          <w:p>
            <w:pPr>
              <w:keepLines/>
              <w:spacing w:after="0"/>
            </w:pPr>
            <w:r/>
            <w:r>
              <w:rPr>
                <w:rFonts w:ascii="Calibri" w:hAnsi="Calibri"/>
                <w:b w:val="0"/>
                <w:sz w:val="16"/>
              </w:rPr>
              <w:t>Mean(actual delivery time − promised delivery time) for late deliveries</w:t>
            </w:r>
          </w:p>
        </w:tc>
        <w:tc>
          <w:tcPr>
            <w:tcW w:type="dxa" w:w="2484"/>
            <w:vAlign w:val="center"/>
          </w:tcPr>
          <w:p>
            <w:pPr>
              <w:keepLines/>
              <w:spacing w:after="0"/>
            </w:pPr>
            <w:r/>
            <w:r>
              <w:rPr>
                <w:rFonts w:ascii="Calibri" w:hAnsi="Calibri"/>
                <w:b w:val="0"/>
                <w:sz w:val="16"/>
              </w:rPr>
              <w:t>Minutes/hours</w:t>
            </w:r>
          </w:p>
        </w:tc>
        <w:tc>
          <w:tcPr>
            <w:tcW w:type="dxa" w:w="2484"/>
            <w:vAlign w:val="center"/>
          </w:tcPr>
          <w:p>
            <w:pPr>
              <w:keepLines/>
              <w:spacing w:after="0"/>
            </w:pPr>
            <w:r/>
            <w:r>
              <w:rPr>
                <w:rFonts w:ascii="Calibri" w:hAnsi="Calibri"/>
                <w:b w:val="0"/>
                <w:sz w:val="16"/>
              </w:rPr>
              <w:t>Shows severity among late orders</w:t>
            </w:r>
          </w:p>
        </w:tc>
      </w:tr>
      <w:tr>
        <w:tc>
          <w:tcPr>
            <w:tcW w:type="dxa" w:w="2484"/>
            <w:vAlign w:val="center"/>
          </w:tcPr>
          <w:p>
            <w:pPr>
              <w:keepLines/>
              <w:spacing w:after="0"/>
            </w:pPr>
            <w:r/>
            <w:r>
              <w:rPr>
                <w:rFonts w:ascii="Calibri" w:hAnsi="Calibri"/>
                <w:b/>
                <w:sz w:val="16"/>
              </w:rPr>
              <w:t>Cost per delivered shipment</w:t>
            </w:r>
          </w:p>
        </w:tc>
        <w:tc>
          <w:tcPr>
            <w:tcW w:type="dxa" w:w="2484"/>
            <w:vAlign w:val="center"/>
          </w:tcPr>
          <w:p>
            <w:pPr>
              <w:keepLines/>
              <w:spacing w:after="0"/>
            </w:pPr>
            <w:r/>
            <w:r>
              <w:rPr>
                <w:rFonts w:ascii="Calibri" w:hAnsi="Calibri"/>
                <w:b w:val="0"/>
                <w:sz w:val="16"/>
              </w:rPr>
              <w:t>Total comparable delivery cost ÷ completed shipments</w:t>
            </w:r>
          </w:p>
        </w:tc>
        <w:tc>
          <w:tcPr>
            <w:tcW w:type="dxa" w:w="2484"/>
            <w:vAlign w:val="center"/>
          </w:tcPr>
          <w:p>
            <w:pPr>
              <w:keepLines/>
              <w:spacing w:after="0"/>
            </w:pPr>
            <w:r/>
            <w:r>
              <w:rPr>
                <w:rFonts w:ascii="Calibri" w:hAnsi="Calibri"/>
                <w:b w:val="0"/>
                <w:sz w:val="16"/>
              </w:rPr>
              <w:t>Currency/shipment</w:t>
            </w:r>
          </w:p>
        </w:tc>
        <w:tc>
          <w:tcPr>
            <w:tcW w:type="dxa" w:w="2484"/>
            <w:vAlign w:val="center"/>
          </w:tcPr>
          <w:p>
            <w:pPr>
              <w:keepLines/>
              <w:spacing w:after="0"/>
            </w:pPr>
            <w:r/>
            <w:r>
              <w:rPr>
                <w:rFonts w:ascii="Calibri" w:hAnsi="Calibri"/>
                <w:b w:val="0"/>
                <w:sz w:val="16"/>
              </w:rPr>
              <w:t>Use consistent cost components</w:t>
            </w:r>
          </w:p>
        </w:tc>
      </w:tr>
      <w:tr>
        <w:tc>
          <w:tcPr>
            <w:tcW w:type="dxa" w:w="2484"/>
            <w:vAlign w:val="center"/>
          </w:tcPr>
          <w:p>
            <w:pPr>
              <w:keepLines/>
              <w:spacing w:after="0"/>
            </w:pPr>
            <w:r/>
            <w:r>
              <w:rPr>
                <w:rFonts w:ascii="Calibri" w:hAnsi="Calibri"/>
                <w:b/>
                <w:sz w:val="16"/>
              </w:rPr>
              <w:t>Distance per shipment</w:t>
            </w:r>
          </w:p>
        </w:tc>
        <w:tc>
          <w:tcPr>
            <w:tcW w:type="dxa" w:w="2484"/>
            <w:vAlign w:val="center"/>
          </w:tcPr>
          <w:p>
            <w:pPr>
              <w:keepLines/>
              <w:spacing w:after="0"/>
            </w:pPr>
            <w:r/>
            <w:r>
              <w:rPr>
                <w:rFonts w:ascii="Calibri" w:hAnsi="Calibri"/>
                <w:b w:val="0"/>
                <w:sz w:val="16"/>
              </w:rPr>
              <w:t>Total actual distance ÷ completed shipments with valid distance</w:t>
            </w:r>
          </w:p>
        </w:tc>
        <w:tc>
          <w:tcPr>
            <w:tcW w:type="dxa" w:w="2484"/>
            <w:vAlign w:val="center"/>
          </w:tcPr>
          <w:p>
            <w:pPr>
              <w:keepLines/>
              <w:spacing w:after="0"/>
            </w:pPr>
            <w:r/>
            <w:r>
              <w:rPr>
                <w:rFonts w:ascii="Calibri" w:hAnsi="Calibri"/>
                <w:b w:val="0"/>
                <w:sz w:val="16"/>
              </w:rPr>
              <w:t>km/shipment</w:t>
            </w:r>
          </w:p>
        </w:tc>
        <w:tc>
          <w:tcPr>
            <w:tcW w:type="dxa" w:w="2484"/>
            <w:vAlign w:val="center"/>
          </w:tcPr>
          <w:p>
            <w:pPr>
              <w:keepLines/>
              <w:spacing w:after="0"/>
            </w:pPr>
            <w:r/>
            <w:r>
              <w:rPr>
                <w:rFonts w:ascii="Calibri" w:hAnsi="Calibri"/>
                <w:b w:val="0"/>
                <w:sz w:val="16"/>
              </w:rPr>
              <w:t>Proxy for route efficiency; interpret by geography</w:t>
            </w:r>
          </w:p>
        </w:tc>
      </w:tr>
      <w:tr>
        <w:tc>
          <w:tcPr>
            <w:tcW w:type="dxa" w:w="2484"/>
            <w:vAlign w:val="center"/>
          </w:tcPr>
          <w:p>
            <w:pPr>
              <w:keepLines/>
              <w:spacing w:after="0"/>
            </w:pPr>
            <w:r/>
            <w:r>
              <w:rPr>
                <w:rFonts w:ascii="Calibri" w:hAnsi="Calibri"/>
                <w:b/>
                <w:sz w:val="16"/>
              </w:rPr>
              <w:t>Vehicle capacity utilization</w:t>
            </w:r>
          </w:p>
        </w:tc>
        <w:tc>
          <w:tcPr>
            <w:tcW w:type="dxa" w:w="2484"/>
            <w:vAlign w:val="center"/>
          </w:tcPr>
          <w:p>
            <w:pPr>
              <w:keepLines/>
              <w:spacing w:after="0"/>
            </w:pPr>
            <w:r/>
            <w:r>
              <w:rPr>
                <w:rFonts w:ascii="Calibri" w:hAnsi="Calibri"/>
                <w:b w:val="0"/>
                <w:sz w:val="16"/>
              </w:rPr>
              <w:t>Loaded quantity ÷ usable vehicle capacity × 100</w:t>
            </w:r>
          </w:p>
        </w:tc>
        <w:tc>
          <w:tcPr>
            <w:tcW w:type="dxa" w:w="2484"/>
            <w:vAlign w:val="center"/>
          </w:tcPr>
          <w:p>
            <w:pPr>
              <w:keepLines/>
              <w:spacing w:after="0"/>
            </w:pPr>
            <w:r/>
            <w:r>
              <w:rPr>
                <w:rFonts w:ascii="Calibri" w:hAnsi="Calibri"/>
                <w:b w:val="0"/>
                <w:sz w:val="16"/>
              </w:rPr>
              <w:t>%</w:t>
            </w:r>
          </w:p>
        </w:tc>
        <w:tc>
          <w:tcPr>
            <w:tcW w:type="dxa" w:w="2484"/>
            <w:vAlign w:val="center"/>
          </w:tcPr>
          <w:p>
            <w:pPr>
              <w:keepLines/>
              <w:spacing w:after="0"/>
            </w:pPr>
            <w:r/>
            <w:r>
              <w:rPr>
                <w:rFonts w:ascii="Calibri" w:hAnsi="Calibri"/>
                <w:b w:val="0"/>
                <w:sz w:val="16"/>
              </w:rPr>
              <w:t>Only compare compatible units and vehicle types</w:t>
            </w:r>
          </w:p>
        </w:tc>
      </w:tr>
      <w:tr>
        <w:tc>
          <w:tcPr>
            <w:tcW w:type="dxa" w:w="2484"/>
            <w:vAlign w:val="center"/>
          </w:tcPr>
          <w:p>
            <w:pPr>
              <w:keepLines/>
              <w:spacing w:after="0"/>
            </w:pPr>
            <w:r/>
            <w:r>
              <w:rPr>
                <w:rFonts w:ascii="Calibri" w:hAnsi="Calibri"/>
                <w:b/>
                <w:sz w:val="16"/>
              </w:rPr>
              <w:t>Failed/first-attempt delivery rate</w:t>
            </w:r>
          </w:p>
        </w:tc>
        <w:tc>
          <w:tcPr>
            <w:tcW w:type="dxa" w:w="2484"/>
            <w:vAlign w:val="center"/>
          </w:tcPr>
          <w:p>
            <w:pPr>
              <w:keepLines/>
              <w:spacing w:after="0"/>
            </w:pPr>
            <w:r/>
            <w:r>
              <w:rPr>
                <w:rFonts w:ascii="Calibri" w:hAnsi="Calibri"/>
                <w:b w:val="0"/>
                <w:sz w:val="16"/>
              </w:rPr>
              <w:t>Failed first attempts ÷ eligible delivery attempts × 100</w:t>
            </w:r>
          </w:p>
        </w:tc>
        <w:tc>
          <w:tcPr>
            <w:tcW w:type="dxa" w:w="2484"/>
            <w:vAlign w:val="center"/>
          </w:tcPr>
          <w:p>
            <w:pPr>
              <w:keepLines/>
              <w:spacing w:after="0"/>
            </w:pPr>
            <w:r/>
            <w:r>
              <w:rPr>
                <w:rFonts w:ascii="Calibri" w:hAnsi="Calibri"/>
                <w:b w:val="0"/>
                <w:sz w:val="16"/>
              </w:rPr>
              <w:t>%</w:t>
            </w:r>
          </w:p>
        </w:tc>
        <w:tc>
          <w:tcPr>
            <w:tcW w:type="dxa" w:w="2484"/>
            <w:vAlign w:val="center"/>
          </w:tcPr>
          <w:p>
            <w:pPr>
              <w:keepLines/>
              <w:spacing w:after="0"/>
            </w:pPr>
            <w:r/>
            <w:r>
              <w:rPr>
                <w:rFonts w:ascii="Calibri" w:hAnsi="Calibri"/>
                <w:b w:val="0"/>
                <w:sz w:val="16"/>
              </w:rPr>
              <w:t>Requires a reliable attempt-status field</w:t>
            </w:r>
          </w:p>
        </w:tc>
      </w:tr>
    </w:tbl>
    <w:p>
      <w:r>
        <w:t>Important: the on-time denominator should exclude records that cannot be evaluated because required timestamps are missing, and the number excluded should be reported. For delay, use actual minus promised time; negative values mean early delivery. Do not mix trip-level and shipment-level costs or distances without explicitly converting the unit of analysis.</w:t>
      </w:r>
    </w:p>
    <w:p>
      <w:pPr>
        <w:pStyle w:val="Heading1"/>
      </w:pPr>
      <w:r>
        <w:t>6. Data Preparation and Quality Assurance</w:t>
      </w:r>
    </w:p>
    <w:p>
      <w:pPr>
        <w:pStyle w:val="ListNumber"/>
        <w:spacing w:after="40"/>
      </w:pPr>
      <w:r>
        <w:t>Inventory the files, tables, columns, data types, date ranges, record counts, and source systems.</w:t>
      </w:r>
    </w:p>
    <w:p>
      <w:pPr>
        <w:pStyle w:val="ListNumber"/>
        <w:spacing w:after="40"/>
      </w:pPr>
      <w:r>
        <w:t>Check duplicate shipment IDs and decide whether duplicates are true duplicates, split shipments, or legitimate repeated events.</w:t>
      </w:r>
    </w:p>
    <w:p>
      <w:pPr>
        <w:pStyle w:val="ListNumber"/>
        <w:spacing w:after="40"/>
      </w:pPr>
      <w:r>
        <w:t>Parse timestamps consistently; verify timezone assumptions and the logical order of order, dispatch, promised, and actual times.</w:t>
      </w:r>
    </w:p>
    <w:p>
      <w:pPr>
        <w:pStyle w:val="ListNumber"/>
        <w:spacing w:after="40"/>
      </w:pPr>
      <w:r>
        <w:t>Measure missingness by column and by time period. Investigate the cause before choosing deletion, imputation, or an explicit unknown category.</w:t>
      </w:r>
    </w:p>
    <w:p>
      <w:pPr>
        <w:pStyle w:val="ListNumber"/>
        <w:spacing w:after="40"/>
      </w:pPr>
      <w:r>
        <w:t>Standardize categories, route/zone codes, units, currencies, and status labels using a documented mapping.</w:t>
      </w:r>
    </w:p>
    <w:p>
      <w:pPr>
        <w:pStyle w:val="ListNumber"/>
        <w:spacing w:after="40"/>
      </w:pPr>
      <w:r>
        <w:t>Validate numeric ranges, including non-negative distance/cost, valid capacity, and plausible durations; flag rather than automatically erase outliers.</w:t>
      </w:r>
    </w:p>
    <w:p>
      <w:pPr>
        <w:pStyle w:val="ListNumber"/>
        <w:spacing w:after="40"/>
      </w:pPr>
      <w:r>
        <w:t>Prevent target leakage: do not use information that would only become available after delivery when predicting delivery time in advance.</w:t>
      </w:r>
    </w:p>
    <w:p>
      <w:pPr>
        <w:pStyle w:val="ListNumber"/>
        <w:spacing w:after="40"/>
      </w:pPr>
      <w:r>
        <w:t>Create a clean analysis dataset while preserving the raw source as read-only and recording every transformation.</w:t>
      </w:r>
    </w:p>
    <w:p>
      <w:pPr>
        <w:pStyle w:val="Heading1"/>
      </w:pPr>
      <w:r>
        <w:t>7. Exploratory Data Analysis (EDA)</w:t>
      </w:r>
    </w:p>
    <w:p>
      <w:r>
        <w:t>EDA will describe what happened before trying to predict what will happen.</w:t>
      </w:r>
    </w:p>
    <w:p>
      <w:pPr>
        <w:pStyle w:val="ListBullet"/>
        <w:spacing w:after="40"/>
      </w:pPr>
      <w:r>
        <w:t>Summary statistics: shipment count, missingness, mean/median delivery time, delay distribution, distance, and cost.</w:t>
      </w:r>
    </w:p>
    <w:p>
      <w:pPr>
        <w:pStyle w:val="ListBullet"/>
        <w:spacing w:after="40"/>
      </w:pPr>
      <w:r>
        <w:t>Time trends: on-time rate and shipment volume by day/week/month; check for seasonal or peak-day effects.</w:t>
      </w:r>
    </w:p>
    <w:p>
      <w:pPr>
        <w:pStyle w:val="ListBullet"/>
        <w:spacing w:after="40"/>
      </w:pPr>
      <w:r>
        <w:t>Segment comparisons: route, zone, distribution centre, weekday, delivery window, vehicle type, and shipment class where available.</w:t>
      </w:r>
    </w:p>
    <w:p>
      <w:pPr>
        <w:pStyle w:val="ListBullet"/>
        <w:spacing w:after="40"/>
      </w:pPr>
      <w:r>
        <w:t>Relationship checks: compare delay with distance, dispatch hour, load, traffic/weather indicators, and route characteristics.</w:t>
      </w:r>
    </w:p>
    <w:p>
      <w:pPr>
        <w:pStyle w:val="ListBullet"/>
        <w:spacing w:after="40"/>
      </w:pPr>
      <w:r>
        <w:t>Visuals: histograms/box plots for duration and delay; bar charts for on-time rate by zone; line charts for time trends; scatter plots for distance versus duration.</w:t>
      </w:r>
    </w:p>
    <w:p>
      <w:pPr>
        <w:pStyle w:val="ListBullet"/>
        <w:spacing w:after="40"/>
      </w:pPr>
      <w:r>
        <w:t>Investigate outliers and surprising patterns with source records before deciding whether they represent errors or genuine operational events.</w:t>
      </w:r>
    </w:p>
    <w:p>
      <w:r>
        <w:t>Each chart should include a clear title, units, date range, sample size where useful, and a short interpretation. Correlation is not proof of causation; for example, longer routes may be associated with delays because of geography, not because distance alone causes them.</w:t>
      </w:r>
    </w:p>
    <w:p>
      <w:pPr>
        <w:pStyle w:val="Heading1"/>
      </w:pPr>
      <w:r>
        <w:t>8. Data Science Methods and Their Application</w:t>
      </w:r>
    </w:p>
    <w:p>
      <w:pPr>
        <w:pStyle w:val="Heading2"/>
      </w:pPr>
      <w:r>
        <w:t>8.1 Regression / delivery-time prediction</w:t>
      </w:r>
    </w:p>
    <w:p>
      <w:r>
        <w:t>Regression can estimate a continuous outcome such as delivery duration or delay minutes. Candidate inputs may include distance, dispatch hour, weekday, route/zone, shipment type, planned duration, and known pre-dispatch conditions. Begin with a simple baseline (for example, median duration by route or a linear regression), then compare with more complex models only if justified. Split training and testing data by time where possible so future records are not used to predict the past. Evaluate with MAE and RMSE, and compare the model against the baseline.</w:t>
      </w:r>
    </w:p>
    <w:p>
      <w:pPr>
        <w:pStyle w:val="Heading2"/>
      </w:pPr>
      <w:r>
        <w:t>8.2 Clustering / operational segmentation</w:t>
      </w:r>
    </w:p>
    <w:p>
      <w:r>
        <w:t>Clustering can group routes or delivery zones with similar characteristics, such as distance, typical duration, volume, and delay rate. Standardize numeric variables and avoid including identifiers as if they were meaningful numeric measures. Inspect cluster profiles and test whether groups are stable and useful to operations. Clusters are descriptive segments, not naturally occurring labels or proof of root cause.</w:t>
      </w:r>
    </w:p>
    <w:p>
      <w:pPr>
        <w:pStyle w:val="Heading2"/>
      </w:pPr>
      <w:r>
        <w:t>8.3 Optimization / route and resource allocation</w:t>
      </w:r>
    </w:p>
    <w:p>
      <w:r>
        <w:t>Optimization can help choose delivery sequences or allocate orders to vehicles while minimizing a stated objective such as total distance, travel time, or cost. A realistic model must include constraints such as vehicle capacity, delivery time windows, driver/vehicle availability, depot start/end, and service time. Use verified travel-time matrices and feasible operating constraints. Begin with a small pilot or solver-supported prototype; compare the proposed solution with current practice and have dispatch staff validate it before operational use.</w:t>
      </w:r>
    </w:p>
    <w:p>
      <w:pPr>
        <w:pStyle w:val="Heading2"/>
      </w:pPr>
      <w:r>
        <w:t>Method selection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pPr>
              <w:keepLines/>
              <w:spacing w:after="0"/>
            </w:pPr>
            <w:r/>
            <w:r>
              <w:rPr>
                <w:rFonts w:ascii="Calibri" w:hAnsi="Calibri"/>
                <w:b/>
                <w:color w:val="FFFFFF"/>
                <w:sz w:val="17"/>
              </w:rPr>
              <w:t>Method</w:t>
            </w:r>
          </w:p>
        </w:tc>
        <w:tc>
          <w:tcPr>
            <w:tcW w:type="dxa" w:w="2484"/>
            <w:vAlign w:val="center"/>
            <w:shd w:fill="17365D"/>
          </w:tcPr>
          <w:p>
            <w:pPr>
              <w:keepLines/>
              <w:spacing w:after="0"/>
            </w:pPr>
            <w:r/>
            <w:r>
              <w:rPr>
                <w:rFonts w:ascii="Calibri" w:hAnsi="Calibri"/>
                <w:b/>
                <w:color w:val="FFFFFF"/>
                <w:sz w:val="17"/>
              </w:rPr>
              <w:t>Question answered</w:t>
            </w:r>
          </w:p>
        </w:tc>
        <w:tc>
          <w:tcPr>
            <w:tcW w:type="dxa" w:w="2484"/>
            <w:vAlign w:val="center"/>
            <w:shd w:fill="17365D"/>
          </w:tcPr>
          <w:p>
            <w:pPr>
              <w:keepLines/>
              <w:spacing w:after="0"/>
            </w:pPr>
            <w:r/>
            <w:r>
              <w:rPr>
                <w:rFonts w:ascii="Calibri" w:hAnsi="Calibri"/>
                <w:b/>
                <w:color w:val="FFFFFF"/>
                <w:sz w:val="17"/>
              </w:rPr>
              <w:t>Possible evaluation</w:t>
            </w:r>
          </w:p>
        </w:tc>
        <w:tc>
          <w:tcPr>
            <w:tcW w:type="dxa" w:w="2484"/>
            <w:vAlign w:val="center"/>
            <w:shd w:fill="17365D"/>
          </w:tcPr>
          <w:p>
            <w:pPr>
              <w:keepLines/>
              <w:spacing w:after="0"/>
            </w:pPr>
            <w:r/>
            <w:r>
              <w:rPr>
                <w:rFonts w:ascii="Calibri" w:hAnsi="Calibri"/>
                <w:b/>
                <w:color w:val="FFFFFF"/>
                <w:sz w:val="17"/>
              </w:rPr>
              <w:t>Main caution</w:t>
            </w:r>
          </w:p>
        </w:tc>
      </w:tr>
      <w:tr>
        <w:tc>
          <w:tcPr>
            <w:tcW w:type="dxa" w:w="2484"/>
            <w:vAlign w:val="center"/>
          </w:tcPr>
          <w:p>
            <w:pPr>
              <w:keepLines/>
              <w:spacing w:after="0"/>
            </w:pPr>
            <w:r/>
            <w:r>
              <w:rPr>
                <w:rFonts w:ascii="Calibri" w:hAnsi="Calibri"/>
                <w:b/>
                <w:sz w:val="16"/>
              </w:rPr>
              <w:t>Regression</w:t>
            </w:r>
          </w:p>
        </w:tc>
        <w:tc>
          <w:tcPr>
            <w:tcW w:type="dxa" w:w="2484"/>
            <w:vAlign w:val="center"/>
          </w:tcPr>
          <w:p>
            <w:pPr>
              <w:keepLines/>
              <w:spacing w:after="0"/>
            </w:pPr>
            <w:r/>
            <w:r>
              <w:rPr>
                <w:rFonts w:ascii="Calibri" w:hAnsi="Calibri"/>
                <w:b w:val="0"/>
                <w:sz w:val="16"/>
              </w:rPr>
              <w:t>How long might a delivery take?</w:t>
            </w:r>
          </w:p>
        </w:tc>
        <w:tc>
          <w:tcPr>
            <w:tcW w:type="dxa" w:w="2484"/>
            <w:vAlign w:val="center"/>
          </w:tcPr>
          <w:p>
            <w:pPr>
              <w:keepLines/>
              <w:spacing w:after="0"/>
            </w:pPr>
            <w:r/>
            <w:r>
              <w:rPr>
                <w:rFonts w:ascii="Calibri" w:hAnsi="Calibri"/>
                <w:b w:val="0"/>
                <w:sz w:val="16"/>
              </w:rPr>
              <w:t>MAE/RMSE vs. baseline</w:t>
            </w:r>
          </w:p>
        </w:tc>
        <w:tc>
          <w:tcPr>
            <w:tcW w:type="dxa" w:w="2484"/>
            <w:vAlign w:val="center"/>
          </w:tcPr>
          <w:p>
            <w:pPr>
              <w:keepLines/>
              <w:spacing w:after="0"/>
            </w:pPr>
            <w:r/>
            <w:r>
              <w:rPr>
                <w:rFonts w:ascii="Calibri" w:hAnsi="Calibri"/>
                <w:b w:val="0"/>
                <w:sz w:val="16"/>
              </w:rPr>
              <w:t>Leakage, changing traffic, biased data</w:t>
            </w:r>
          </w:p>
        </w:tc>
      </w:tr>
      <w:tr>
        <w:tc>
          <w:tcPr>
            <w:tcW w:type="dxa" w:w="2484"/>
            <w:vAlign w:val="center"/>
          </w:tcPr>
          <w:p>
            <w:pPr>
              <w:keepLines/>
              <w:spacing w:after="0"/>
            </w:pPr>
            <w:r/>
            <w:r>
              <w:rPr>
                <w:rFonts w:ascii="Calibri" w:hAnsi="Calibri"/>
                <w:b/>
                <w:sz w:val="16"/>
              </w:rPr>
              <w:t>Clustering</w:t>
            </w:r>
          </w:p>
        </w:tc>
        <w:tc>
          <w:tcPr>
            <w:tcW w:type="dxa" w:w="2484"/>
            <w:vAlign w:val="center"/>
          </w:tcPr>
          <w:p>
            <w:pPr>
              <w:keepLines/>
              <w:spacing w:after="0"/>
            </w:pPr>
            <w:r/>
            <w:r>
              <w:rPr>
                <w:rFonts w:ascii="Calibri" w:hAnsi="Calibri"/>
                <w:b w:val="0"/>
                <w:sz w:val="16"/>
              </w:rPr>
              <w:t>Which routes/zones behave similarly?</w:t>
            </w:r>
          </w:p>
        </w:tc>
        <w:tc>
          <w:tcPr>
            <w:tcW w:type="dxa" w:w="2484"/>
            <w:vAlign w:val="center"/>
          </w:tcPr>
          <w:p>
            <w:pPr>
              <w:keepLines/>
              <w:spacing w:after="0"/>
            </w:pPr>
            <w:r/>
            <w:r>
              <w:rPr>
                <w:rFonts w:ascii="Calibri" w:hAnsi="Calibri"/>
                <w:b w:val="0"/>
                <w:sz w:val="16"/>
              </w:rPr>
              <w:t>Cluster profiles, stability, operational usefulness</w:t>
            </w:r>
          </w:p>
        </w:tc>
        <w:tc>
          <w:tcPr>
            <w:tcW w:type="dxa" w:w="2484"/>
            <w:vAlign w:val="center"/>
          </w:tcPr>
          <w:p>
            <w:pPr>
              <w:keepLines/>
              <w:spacing w:after="0"/>
            </w:pPr>
            <w:r/>
            <w:r>
              <w:rPr>
                <w:rFonts w:ascii="Calibri" w:hAnsi="Calibri"/>
                <w:b w:val="0"/>
                <w:sz w:val="16"/>
              </w:rPr>
              <w:t>Clusters may be hard to interpret or unstable</w:t>
            </w:r>
          </w:p>
        </w:tc>
      </w:tr>
      <w:tr>
        <w:tc>
          <w:tcPr>
            <w:tcW w:type="dxa" w:w="2484"/>
            <w:vAlign w:val="center"/>
          </w:tcPr>
          <w:p>
            <w:pPr>
              <w:keepLines/>
              <w:spacing w:after="0"/>
            </w:pPr>
            <w:r/>
            <w:r>
              <w:rPr>
                <w:rFonts w:ascii="Calibri" w:hAnsi="Calibri"/>
                <w:b/>
                <w:sz w:val="16"/>
              </w:rPr>
              <w:t>Optimization</w:t>
            </w:r>
          </w:p>
        </w:tc>
        <w:tc>
          <w:tcPr>
            <w:tcW w:type="dxa" w:w="2484"/>
            <w:vAlign w:val="center"/>
          </w:tcPr>
          <w:p>
            <w:pPr>
              <w:keepLines/>
              <w:spacing w:after="0"/>
            </w:pPr>
            <w:r/>
            <w:r>
              <w:rPr>
                <w:rFonts w:ascii="Calibri" w:hAnsi="Calibri"/>
                <w:b w:val="0"/>
                <w:sz w:val="16"/>
              </w:rPr>
              <w:t>How can routes/resources be assigned under constraints?</w:t>
            </w:r>
          </w:p>
        </w:tc>
        <w:tc>
          <w:tcPr>
            <w:tcW w:type="dxa" w:w="2484"/>
            <w:vAlign w:val="center"/>
          </w:tcPr>
          <w:p>
            <w:pPr>
              <w:keepLines/>
              <w:spacing w:after="0"/>
            </w:pPr>
            <w:r/>
            <w:r>
              <w:rPr>
                <w:rFonts w:ascii="Calibri" w:hAnsi="Calibri"/>
                <w:b w:val="0"/>
                <w:sz w:val="16"/>
              </w:rPr>
              <w:t>Distance/time/cost and constraint violations vs. current plan</w:t>
            </w:r>
          </w:p>
        </w:tc>
        <w:tc>
          <w:tcPr>
            <w:tcW w:type="dxa" w:w="2484"/>
            <w:vAlign w:val="center"/>
          </w:tcPr>
          <w:p>
            <w:pPr>
              <w:keepLines/>
              <w:spacing w:after="0"/>
            </w:pPr>
            <w:r/>
            <w:r>
              <w:rPr>
                <w:rFonts w:ascii="Calibri" w:hAnsi="Calibri"/>
                <w:b w:val="0"/>
                <w:sz w:val="16"/>
              </w:rPr>
              <w:t>Bad inputs or missing constraints produce impractical plans</w:t>
            </w:r>
          </w:p>
        </w:tc>
      </w:tr>
    </w:tbl>
    <w:p>
      <w:pPr>
        <w:pStyle w:val="Heading1"/>
      </w:pPr>
      <w:r>
        <w:t>9. End-to-End Strategic Roadmap</w:t>
      </w:r>
    </w:p>
    <w:p>
      <w:pPr>
        <w:spacing w:after="80"/>
      </w:pPr>
      <w:r>
        <w:rPr>
          <w:b/>
        </w:rPr>
        <w:t xml:space="preserve">Phase 1 — Business alignment: </w:t>
      </w:r>
      <w:r>
        <w:t>Confirm decision-makers, operational problem, geography, time horizon, KPI definitions, and success criteria.</w:t>
      </w:r>
    </w:p>
    <w:p>
      <w:pPr>
        <w:spacing w:after="80"/>
      </w:pPr>
      <w:r>
        <w:rPr>
          <w:b/>
        </w:rPr>
        <w:t xml:space="preserve">Phase 2 — Data discovery: </w:t>
      </w:r>
      <w:r>
        <w:t>List authorized sources, obtain a data dictionary, review public alternatives, record licensing/access dates, and assess coverage.</w:t>
      </w:r>
    </w:p>
    <w:p>
      <w:pPr>
        <w:spacing w:after="80"/>
      </w:pPr>
      <w:r>
        <w:rPr>
          <w:b/>
        </w:rPr>
        <w:t xml:space="preserve">Phase 3 — Data quality: </w:t>
      </w:r>
      <w:r>
        <w:t>Profile missing values, duplicates, timestamps, categories, units, and outliers; document every decision.</w:t>
      </w:r>
    </w:p>
    <w:p>
      <w:pPr>
        <w:spacing w:after="80"/>
      </w:pPr>
      <w:r>
        <w:rPr>
          <w:b/>
        </w:rPr>
        <w:t xml:space="preserve">Phase 4 — EDA: </w:t>
      </w:r>
      <w:r>
        <w:t>Calculate baseline KPIs and compare time periods, routes, zones, vehicle types, and relevant operational segments.</w:t>
      </w:r>
    </w:p>
    <w:p>
      <w:pPr>
        <w:spacing w:after="80"/>
      </w:pPr>
      <w:r>
        <w:rPr>
          <w:b/>
        </w:rPr>
        <w:t xml:space="preserve">Phase 5 — Baseline and modeling: </w:t>
      </w:r>
      <w:r>
        <w:t>Create a simple benchmark; test regression only if prediction is useful; use clustering for segmentation; formulate optimization constraints.</w:t>
      </w:r>
    </w:p>
    <w:p>
      <w:pPr>
        <w:spacing w:after="80"/>
      </w:pPr>
      <w:r>
        <w:rPr>
          <w:b/>
        </w:rPr>
        <w:t xml:space="preserve">Phase 6 — Validation: </w:t>
      </w:r>
      <w:r>
        <w:t>Use a holdout/test period; compare with baseline; inspect error by segment; test sensitivity and operational feasibility.</w:t>
      </w:r>
    </w:p>
    <w:p>
      <w:pPr>
        <w:spacing w:after="80"/>
      </w:pPr>
      <w:r>
        <w:rPr>
          <w:b/>
        </w:rPr>
        <w:t xml:space="preserve">Phase 7 — Recommendations: </w:t>
      </w:r>
      <w:r>
        <w:t>Translate evidence into actions, owners, estimated trade-offs, risks, and a small pilot plan.</w:t>
      </w:r>
    </w:p>
    <w:p>
      <w:pPr>
        <w:spacing w:after="80"/>
      </w:pPr>
      <w:r>
        <w:rPr>
          <w:b/>
        </w:rPr>
        <w:t xml:space="preserve">Phase 8 — Monitoring: </w:t>
      </w:r>
      <w:r>
        <w:t>Track KPIs after rollout, detect data/model drift, document exceptions, and review the approach periodically.</w:t>
      </w:r>
    </w:p>
    <w:p>
      <w:pPr>
        <w:pStyle w:val="Heading1"/>
      </w:pPr>
      <w:r>
        <w:t>10. Python Code Illustration</w:t>
      </w:r>
    </w:p>
    <w:p>
      <w:r>
        <w:t>The following example demonstrates the shape of an initial analysis. It assumes a CSV file named shipments.csv with the stated columns. It is illustrative and must be adapted to the actual dataset and business definitions; it is not evidence of measured performance.</w:t>
      </w:r>
    </w:p>
    <w:p>
      <w:pPr>
        <w:keepLines/>
        <w:spacing w:before="60" w:after="140"/>
        <w:ind w:left="360" w:right="216"/>
        <w:shd w:fill="F2F4F7"/>
      </w:pPr>
      <w:r>
        <w:rPr>
          <w:rFonts w:ascii="Consolas" w:hAnsi="Consolas"/>
          <w:color w:val="282828"/>
          <w:sz w:val="17"/>
        </w:rPr>
        <w:t>import pandas as pd</w:t>
      </w:r>
      <w:r>
        <w:br/>
      </w:r>
      <w:r>
        <w:rPr>
          <w:rFonts w:ascii="Consolas" w:hAnsi="Consolas"/>
          <w:color w:val="282828"/>
          <w:sz w:val="17"/>
        </w:rPr>
      </w:r>
      <w:r>
        <w:br/>
      </w:r>
      <w:r>
        <w:rPr>
          <w:rFonts w:ascii="Consolas" w:hAnsi="Consolas"/>
          <w:color w:val="282828"/>
          <w:sz w:val="17"/>
        </w:rPr>
        <w:t># 1) Load the data and parse timestamps</w:t>
      </w:r>
      <w:r>
        <w:br/>
      </w:r>
      <w:r>
        <w:rPr>
          <w:rFonts w:ascii="Consolas" w:hAnsi="Consolas"/>
          <w:color w:val="282828"/>
          <w:sz w:val="17"/>
        </w:rPr>
        <w:t>df = pd.read_csv("shipments.csv")</w:t>
      </w:r>
      <w:r>
        <w:br/>
      </w:r>
      <w:r>
        <w:rPr>
          <w:rFonts w:ascii="Consolas" w:hAnsi="Consolas"/>
          <w:color w:val="282828"/>
          <w:sz w:val="17"/>
        </w:rPr>
        <w:t>date_cols = ["order_time", "promised_delivery_time", "actual_delivery_time"]</w:t>
      </w:r>
      <w:r>
        <w:br/>
      </w:r>
      <w:r>
        <w:rPr>
          <w:rFonts w:ascii="Consolas" w:hAnsi="Consolas"/>
          <w:color w:val="282828"/>
          <w:sz w:val="17"/>
        </w:rPr>
        <w:t>for col in date_cols:</w:t>
      </w:r>
      <w:r>
        <w:br/>
      </w:r>
      <w:r>
        <w:rPr>
          <w:rFonts w:ascii="Consolas" w:hAnsi="Consolas"/>
          <w:color w:val="282828"/>
          <w:sz w:val="17"/>
        </w:rPr>
        <w:t xml:space="preserve">    df[col] = pd.to_datetime(df[col], errors="coerce")</w:t>
      </w:r>
      <w:r>
        <w:br/>
      </w:r>
      <w:r>
        <w:rPr>
          <w:rFonts w:ascii="Consolas" w:hAnsi="Consolas"/>
          <w:color w:val="282828"/>
          <w:sz w:val="17"/>
        </w:rPr>
      </w:r>
      <w:r>
        <w:br/>
      </w:r>
      <w:r>
        <w:rPr>
          <w:rFonts w:ascii="Consolas" w:hAnsi="Consolas"/>
          <w:color w:val="282828"/>
          <w:sz w:val="17"/>
        </w:rPr>
        <w:t># 2) Basic data-quality checks</w:t>
      </w:r>
      <w:r>
        <w:br/>
      </w:r>
      <w:r>
        <w:rPr>
          <w:rFonts w:ascii="Consolas" w:hAnsi="Consolas"/>
          <w:color w:val="282828"/>
          <w:sz w:val="17"/>
        </w:rPr>
        <w:t>print("Rows and columns:", df.shape)</w:t>
      </w:r>
      <w:r>
        <w:br/>
      </w:r>
      <w:r>
        <w:rPr>
          <w:rFonts w:ascii="Consolas" w:hAnsi="Consolas"/>
          <w:color w:val="282828"/>
          <w:sz w:val="17"/>
        </w:rPr>
        <w:t>print("Missing values by column:\n", df.isna().sum())</w:t>
      </w:r>
      <w:r>
        <w:br/>
      </w:r>
      <w:r>
        <w:rPr>
          <w:rFonts w:ascii="Consolas" w:hAnsi="Consolas"/>
          <w:color w:val="282828"/>
          <w:sz w:val="17"/>
        </w:rPr>
        <w:t>print("Duplicate shipment IDs:", df["shipment_id"].duplicated().sum())</w:t>
      </w:r>
      <w:r>
        <w:br/>
      </w:r>
      <w:r>
        <w:rPr>
          <w:rFonts w:ascii="Consolas" w:hAnsi="Consolas"/>
          <w:color w:val="282828"/>
          <w:sz w:val="17"/>
        </w:rPr>
      </w:r>
      <w:r>
        <w:br/>
      </w:r>
      <w:r>
        <w:rPr>
          <w:rFonts w:ascii="Consolas" w:hAnsi="Consolas"/>
          <w:color w:val="282828"/>
          <w:sz w:val="17"/>
        </w:rPr>
        <w:t># 3) Derive delivery duration and delay (hours)</w:t>
      </w:r>
      <w:r>
        <w:br/>
      </w:r>
      <w:r>
        <w:rPr>
          <w:rFonts w:ascii="Consolas" w:hAnsi="Consolas"/>
          <w:color w:val="282828"/>
          <w:sz w:val="17"/>
        </w:rPr>
        <w:t>df["delivery_hours"] = (</w:t>
      </w:r>
      <w:r>
        <w:br/>
      </w:r>
      <w:r>
        <w:rPr>
          <w:rFonts w:ascii="Consolas" w:hAnsi="Consolas"/>
          <w:color w:val="282828"/>
          <w:sz w:val="17"/>
        </w:rPr>
        <w:t xml:space="preserve">    df["actual_delivery_time"] - df["order_time"]</w:t>
      </w:r>
      <w:r>
        <w:br/>
      </w:r>
      <w:r>
        <w:rPr>
          <w:rFonts w:ascii="Consolas" w:hAnsi="Consolas"/>
          <w:color w:val="282828"/>
          <w:sz w:val="17"/>
        </w:rPr>
        <w:t>).dt.total_seconds() / 3600</w:t>
      </w:r>
      <w:r>
        <w:br/>
      </w:r>
      <w:r>
        <w:rPr>
          <w:rFonts w:ascii="Consolas" w:hAnsi="Consolas"/>
          <w:color w:val="282828"/>
          <w:sz w:val="17"/>
        </w:rPr>
      </w:r>
      <w:r>
        <w:br/>
      </w:r>
      <w:r>
        <w:rPr>
          <w:rFonts w:ascii="Consolas" w:hAnsi="Consolas"/>
          <w:color w:val="282828"/>
          <w:sz w:val="17"/>
        </w:rPr>
        <w:t>df["delay_hours"] = (</w:t>
      </w:r>
      <w:r>
        <w:br/>
      </w:r>
      <w:r>
        <w:rPr>
          <w:rFonts w:ascii="Consolas" w:hAnsi="Consolas"/>
          <w:color w:val="282828"/>
          <w:sz w:val="17"/>
        </w:rPr>
        <w:t xml:space="preserve">    df["actual_delivery_time"] - df["promised_delivery_time"]</w:t>
      </w:r>
      <w:r>
        <w:br/>
      </w:r>
      <w:r>
        <w:rPr>
          <w:rFonts w:ascii="Consolas" w:hAnsi="Consolas"/>
          <w:color w:val="282828"/>
          <w:sz w:val="17"/>
        </w:rPr>
        <w:t>).dt.total_seconds() / 3600</w:t>
      </w:r>
      <w:r>
        <w:br/>
      </w:r>
      <w:r>
        <w:rPr>
          <w:rFonts w:ascii="Consolas" w:hAnsi="Consolas"/>
          <w:color w:val="282828"/>
          <w:sz w:val="17"/>
        </w:rPr>
      </w:r>
      <w:r>
        <w:br/>
      </w:r>
      <w:r>
        <w:rPr>
          <w:rFonts w:ascii="Consolas" w:hAnsi="Consolas"/>
          <w:color w:val="282828"/>
          <w:sz w:val="17"/>
        </w:rPr>
        <w:t># 4) Calculate KPIs only for records with required fields</w:t>
      </w:r>
      <w:r>
        <w:br/>
      </w:r>
      <w:r>
        <w:rPr>
          <w:rFonts w:ascii="Consolas" w:hAnsi="Consolas"/>
          <w:color w:val="282828"/>
          <w:sz w:val="17"/>
        </w:rPr>
        <w:t>eligible = df.dropna(</w:t>
      </w:r>
      <w:r>
        <w:br/>
      </w:r>
      <w:r>
        <w:rPr>
          <w:rFonts w:ascii="Consolas" w:hAnsi="Consolas"/>
          <w:color w:val="282828"/>
          <w:sz w:val="17"/>
        </w:rPr>
        <w:t xml:space="preserve">    subset=["promised_delivery_time", "actual_delivery_time"]</w:t>
      </w:r>
      <w:r>
        <w:br/>
      </w:r>
      <w:r>
        <w:rPr>
          <w:rFonts w:ascii="Consolas" w:hAnsi="Consolas"/>
          <w:color w:val="282828"/>
          <w:sz w:val="17"/>
        </w:rPr>
        <w:t>).copy()</w:t>
      </w:r>
      <w:r>
        <w:br/>
      </w:r>
      <w:r>
        <w:rPr>
          <w:rFonts w:ascii="Consolas" w:hAnsi="Consolas"/>
          <w:color w:val="282828"/>
          <w:sz w:val="17"/>
        </w:rPr>
        <w:t>eligible["on_time"] = (</w:t>
      </w:r>
      <w:r>
        <w:br/>
      </w:r>
      <w:r>
        <w:rPr>
          <w:rFonts w:ascii="Consolas" w:hAnsi="Consolas"/>
          <w:color w:val="282828"/>
          <w:sz w:val="17"/>
        </w:rPr>
        <w:t xml:space="preserve">    eligible["actual_delivery_time"] &lt;= eligible["promised_delivery_time"]</w:t>
      </w:r>
      <w:r>
        <w:br/>
      </w:r>
      <w:r>
        <w:rPr>
          <w:rFonts w:ascii="Consolas" w:hAnsi="Consolas"/>
          <w:color w:val="282828"/>
          <w:sz w:val="17"/>
        </w:rPr>
        <w:t>)</w:t>
      </w:r>
      <w:r>
        <w:br/>
      </w:r>
      <w:r>
        <w:rPr>
          <w:rFonts w:ascii="Consolas" w:hAnsi="Consolas"/>
          <w:color w:val="282828"/>
          <w:sz w:val="17"/>
        </w:rPr>
      </w:r>
      <w:r>
        <w:br/>
      </w:r>
      <w:r>
        <w:rPr>
          <w:rFonts w:ascii="Consolas" w:hAnsi="Consolas"/>
          <w:color w:val="282828"/>
          <w:sz w:val="17"/>
        </w:rPr>
        <w:t>on_time_rate = eligible["on_time"].mean() * 100</w:t>
      </w:r>
      <w:r>
        <w:br/>
      </w:r>
      <w:r>
        <w:rPr>
          <w:rFonts w:ascii="Consolas" w:hAnsi="Consolas"/>
          <w:color w:val="282828"/>
          <w:sz w:val="17"/>
        </w:rPr>
        <w:t>print(f"On-time delivery rate: {on_time_rate:.2f}%")</w:t>
      </w:r>
      <w:r>
        <w:br/>
      </w:r>
      <w:r>
        <w:rPr>
          <w:rFonts w:ascii="Consolas" w:hAnsi="Consolas"/>
          <w:color w:val="282828"/>
          <w:sz w:val="17"/>
        </w:rPr>
        <w:t>print("Eligible records:", len(eligible))</w:t>
      </w:r>
      <w:r>
        <w:br/>
      </w:r>
      <w:r>
        <w:rPr>
          <w:rFonts w:ascii="Consolas" w:hAnsi="Consolas"/>
          <w:color w:val="282828"/>
          <w:sz w:val="17"/>
        </w:rPr>
        <w:t>print("Records excluded for missing timestamps:",</w:t>
      </w:r>
      <w:r>
        <w:br/>
      </w:r>
      <w:r>
        <w:rPr>
          <w:rFonts w:ascii="Consolas" w:hAnsi="Consolas"/>
          <w:color w:val="282828"/>
          <w:sz w:val="17"/>
        </w:rPr>
        <w:t xml:space="preserve">      len(df) - len(eligible))</w:t>
      </w:r>
      <w:r>
        <w:br/>
      </w:r>
      <w:r>
        <w:rPr>
          <w:rFonts w:ascii="Consolas" w:hAnsi="Consolas"/>
          <w:color w:val="282828"/>
          <w:sz w:val="17"/>
        </w:rPr>
      </w:r>
      <w:r>
        <w:br/>
      </w:r>
      <w:r>
        <w:rPr>
          <w:rFonts w:ascii="Consolas" w:hAnsi="Consolas"/>
          <w:color w:val="282828"/>
          <w:sz w:val="17"/>
        </w:rPr>
        <w:t># 5) Explore route-level performance</w:t>
      </w:r>
      <w:r>
        <w:br/>
      </w:r>
      <w:r>
        <w:rPr>
          <w:rFonts w:ascii="Consolas" w:hAnsi="Consolas"/>
          <w:color w:val="282828"/>
          <w:sz w:val="17"/>
        </w:rPr>
        <w:t>route_summary = eligible.groupby("route_id").agg(</w:t>
      </w:r>
      <w:r>
        <w:br/>
      </w:r>
      <w:r>
        <w:rPr>
          <w:rFonts w:ascii="Consolas" w:hAnsi="Consolas"/>
          <w:color w:val="282828"/>
          <w:sz w:val="17"/>
        </w:rPr>
        <w:t xml:space="preserve">    shipments=("shipment_id", "count"),</w:t>
      </w:r>
      <w:r>
        <w:br/>
      </w:r>
      <w:r>
        <w:rPr>
          <w:rFonts w:ascii="Consolas" w:hAnsi="Consolas"/>
          <w:color w:val="282828"/>
          <w:sz w:val="17"/>
        </w:rPr>
        <w:t xml:space="preserve">    on_time_rate=("on_time", "mean"),</w:t>
      </w:r>
      <w:r>
        <w:br/>
      </w:r>
      <w:r>
        <w:rPr>
          <w:rFonts w:ascii="Consolas" w:hAnsi="Consolas"/>
          <w:color w:val="282828"/>
          <w:sz w:val="17"/>
        </w:rPr>
        <w:t xml:space="preserve">    median_delay_hours=("delay_hours", "median")</w:t>
      </w:r>
      <w:r>
        <w:br/>
      </w:r>
      <w:r>
        <w:rPr>
          <w:rFonts w:ascii="Consolas" w:hAnsi="Consolas"/>
          <w:color w:val="282828"/>
          <w:sz w:val="17"/>
        </w:rPr>
        <w:t>)</w:t>
      </w:r>
      <w:r>
        <w:br/>
      </w:r>
      <w:r>
        <w:rPr>
          <w:rFonts w:ascii="Consolas" w:hAnsi="Consolas"/>
          <w:color w:val="282828"/>
          <w:sz w:val="17"/>
        </w:rPr>
        <w:t>route_summary["on_time_rate"] *= 100</w:t>
      </w:r>
      <w:r>
        <w:br/>
      </w:r>
      <w:r>
        <w:rPr>
          <w:rFonts w:ascii="Consolas" w:hAnsi="Consolas"/>
          <w:color w:val="282828"/>
          <w:sz w:val="17"/>
        </w:rPr>
        <w:t>print(route_summary.sort_values("on_time_rate"))</w:t>
      </w:r>
    </w:p>
    <w:p>
      <w:r>
        <w:t>Implementation checks: confirm that shipment_id, route_id, and all timestamp columns exist; verify the intended start time for delivery duration; decide how to handle repeated shipment IDs; and do not interpret the output until data quality and KPI definitions are approved.</w:t>
      </w:r>
    </w:p>
    <w:p>
      <w:pPr>
        <w:pStyle w:val="Heading1"/>
      </w:pPr>
      <w:r>
        <w:t>11. Optional Predictive Modeling Outline</w:t>
      </w:r>
    </w:p>
    <w:p>
      <w:pPr>
        <w:keepLines/>
        <w:spacing w:before="60" w:after="140"/>
        <w:ind w:left="360" w:right="216"/>
        <w:shd w:fill="F2F4F7"/>
      </w:pPr>
      <w:r>
        <w:rPr>
          <w:rFonts w:ascii="Consolas" w:hAnsi="Consolas"/>
          <w:color w:val="282828"/>
          <w:sz w:val="17"/>
        </w:rPr>
        <w:t># Pseudocode: predictive modeling plan</w:t>
      </w:r>
      <w:r>
        <w:br/>
      </w:r>
      <w:r>
        <w:rPr>
          <w:rFonts w:ascii="Consolas" w:hAnsi="Consolas"/>
          <w:color w:val="282828"/>
          <w:sz w:val="17"/>
        </w:rPr>
        <w:t># 1. Select features known at the time a delivery estimate is needed.</w:t>
      </w:r>
      <w:r>
        <w:br/>
      </w:r>
      <w:r>
        <w:rPr>
          <w:rFonts w:ascii="Consolas" w:hAnsi="Consolas"/>
          <w:color w:val="282828"/>
          <w:sz w:val="17"/>
        </w:rPr>
        <w:t># 2. Create a time-based train/test split.</w:t>
      </w:r>
      <w:r>
        <w:br/>
      </w:r>
      <w:r>
        <w:rPr>
          <w:rFonts w:ascii="Consolas" w:hAnsi="Consolas"/>
          <w:color w:val="282828"/>
          <w:sz w:val="17"/>
        </w:rPr>
        <w:t># 3. Build a baseline prediction (e.g., median duration).</w:t>
      </w:r>
      <w:r>
        <w:br/>
      </w:r>
      <w:r>
        <w:rPr>
          <w:rFonts w:ascii="Consolas" w:hAnsi="Consolas"/>
          <w:color w:val="282828"/>
          <w:sz w:val="17"/>
        </w:rPr>
        <w:t># 4. Fit a regression model on the training period.</w:t>
      </w:r>
      <w:r>
        <w:br/>
      </w:r>
      <w:r>
        <w:rPr>
          <w:rFonts w:ascii="Consolas" w:hAnsi="Consolas"/>
          <w:color w:val="282828"/>
          <w:sz w:val="17"/>
        </w:rPr>
        <w:t># 5. Evaluate MAE/RMSE on the later test period.</w:t>
      </w:r>
      <w:r>
        <w:br/>
      </w:r>
      <w:r>
        <w:rPr>
          <w:rFonts w:ascii="Consolas" w:hAnsi="Consolas"/>
          <w:color w:val="282828"/>
          <w:sz w:val="17"/>
        </w:rPr>
        <w:t># 6. Compare performance by route/zone and investigate large errors.</w:t>
      </w:r>
      <w:r>
        <w:br/>
      </w:r>
      <w:r>
        <w:rPr>
          <w:rFonts w:ascii="Consolas" w:hAnsi="Consolas"/>
          <w:color w:val="282828"/>
          <w:sz w:val="17"/>
        </w:rPr>
        <w:t># 7. Deploy only after operational review and monitoring design.</w:t>
      </w:r>
    </w:p>
    <w:p>
      <w:r>
        <w:t>A model should not be fitted until the dataset has enough valid observations, the target is clearly defined, and a leakage-safe evaluation plan is agreed. Any model output should be presented with uncertainty and limitations, not as a guaranteed arrival time.</w:t>
      </w:r>
    </w:p>
    <w:p>
      <w:pPr>
        <w:pStyle w:val="Heading1"/>
      </w:pPr>
      <w:r>
        <w:t>12. Risks, Limitations, and Mitigations</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keepLines/>
              <w:spacing w:after="0"/>
            </w:pPr>
            <w:r/>
            <w:r>
              <w:rPr>
                <w:rFonts w:ascii="Calibri" w:hAnsi="Calibri"/>
                <w:b/>
                <w:color w:val="FFFFFF"/>
                <w:sz w:val="18"/>
              </w:rPr>
              <w:t>Risk</w:t>
            </w:r>
          </w:p>
        </w:tc>
        <w:tc>
          <w:tcPr>
            <w:tcW w:type="dxa" w:w="4968"/>
            <w:vAlign w:val="center"/>
            <w:shd w:fill="17365D"/>
          </w:tcPr>
          <w:p>
            <w:pPr>
              <w:keepLines/>
              <w:spacing w:after="0"/>
            </w:pPr>
            <w:r/>
            <w:r>
              <w:rPr>
                <w:rFonts w:ascii="Calibri" w:hAnsi="Calibri"/>
                <w:b/>
                <w:color w:val="FFFFFF"/>
                <w:sz w:val="18"/>
              </w:rPr>
              <w:t>Mitigation</w:t>
            </w:r>
          </w:p>
        </w:tc>
      </w:tr>
      <w:tr>
        <w:tc>
          <w:tcPr>
            <w:tcW w:type="dxa" w:w="4968"/>
            <w:vAlign w:val="center"/>
          </w:tcPr>
          <w:p>
            <w:pPr>
              <w:keepLines/>
              <w:spacing w:after="0"/>
            </w:pPr>
            <w:r/>
            <w:r>
              <w:rPr>
                <w:rFonts w:ascii="Calibri" w:hAnsi="Calibri"/>
                <w:b/>
                <w:sz w:val="17"/>
              </w:rPr>
              <w:t>Incomplete or inaccurate records</w:t>
            </w:r>
          </w:p>
        </w:tc>
        <w:tc>
          <w:tcPr>
            <w:tcW w:type="dxa" w:w="4968"/>
            <w:vAlign w:val="center"/>
          </w:tcPr>
          <w:p>
            <w:pPr>
              <w:keepLines/>
              <w:spacing w:after="0"/>
            </w:pPr>
            <w:r/>
            <w:r>
              <w:rPr>
                <w:rFonts w:ascii="Calibri" w:hAnsi="Calibri"/>
                <w:b w:val="0"/>
                <w:sz w:val="17"/>
              </w:rPr>
              <w:t>Profile missingness, reconcile with source systems, publish exclusions, and avoid unsupported conclusions.</w:t>
            </w:r>
          </w:p>
        </w:tc>
      </w:tr>
      <w:tr>
        <w:tc>
          <w:tcPr>
            <w:tcW w:type="dxa" w:w="4968"/>
            <w:vAlign w:val="center"/>
          </w:tcPr>
          <w:p>
            <w:pPr>
              <w:keepLines/>
              <w:spacing w:after="0"/>
            </w:pPr>
            <w:r/>
            <w:r>
              <w:rPr>
                <w:rFonts w:ascii="Calibri" w:hAnsi="Calibri"/>
                <w:b/>
                <w:sz w:val="17"/>
              </w:rPr>
              <w:t>Inconsistent KPI definitions</w:t>
            </w:r>
          </w:p>
        </w:tc>
        <w:tc>
          <w:tcPr>
            <w:tcW w:type="dxa" w:w="4968"/>
            <w:vAlign w:val="center"/>
          </w:tcPr>
          <w:p>
            <w:pPr>
              <w:keepLines/>
              <w:spacing w:after="0"/>
            </w:pPr>
            <w:r/>
            <w:r>
              <w:rPr>
                <w:rFonts w:ascii="Calibri" w:hAnsi="Calibri"/>
                <w:b w:val="0"/>
                <w:sz w:val="17"/>
              </w:rPr>
              <w:t>Approve a written data dictionary and calculation rules before comparing teams or time periods.</w:t>
            </w:r>
          </w:p>
        </w:tc>
      </w:tr>
      <w:tr>
        <w:tc>
          <w:tcPr>
            <w:tcW w:type="dxa" w:w="4968"/>
            <w:vAlign w:val="center"/>
          </w:tcPr>
          <w:p>
            <w:pPr>
              <w:keepLines/>
              <w:spacing w:after="0"/>
            </w:pPr>
            <w:r/>
            <w:r>
              <w:rPr>
                <w:rFonts w:ascii="Calibri" w:hAnsi="Calibri"/>
                <w:b/>
                <w:sz w:val="17"/>
              </w:rPr>
              <w:t>Public data not representative</w:t>
            </w:r>
          </w:p>
        </w:tc>
        <w:tc>
          <w:tcPr>
            <w:tcW w:type="dxa" w:w="4968"/>
            <w:vAlign w:val="center"/>
          </w:tcPr>
          <w:p>
            <w:pPr>
              <w:keepLines/>
              <w:spacing w:after="0"/>
            </w:pPr>
            <w:r/>
            <w:r>
              <w:rPr>
                <w:rFonts w:ascii="Calibri" w:hAnsi="Calibri"/>
                <w:b w:val="0"/>
                <w:sz w:val="17"/>
              </w:rPr>
              <w:t>Use it only for methodology demonstration; do not infer company-specific performance from it.</w:t>
            </w:r>
          </w:p>
        </w:tc>
      </w:tr>
      <w:tr>
        <w:tc>
          <w:tcPr>
            <w:tcW w:type="dxa" w:w="4968"/>
            <w:vAlign w:val="center"/>
          </w:tcPr>
          <w:p>
            <w:pPr>
              <w:keepLines/>
              <w:spacing w:after="0"/>
            </w:pPr>
            <w:r/>
            <w:r>
              <w:rPr>
                <w:rFonts w:ascii="Calibri" w:hAnsi="Calibri"/>
                <w:b/>
                <w:sz w:val="17"/>
              </w:rPr>
              <w:t>Prediction drift</w:t>
            </w:r>
          </w:p>
        </w:tc>
        <w:tc>
          <w:tcPr>
            <w:tcW w:type="dxa" w:w="4968"/>
            <w:vAlign w:val="center"/>
          </w:tcPr>
          <w:p>
            <w:pPr>
              <w:keepLines/>
              <w:spacing w:after="0"/>
            </w:pPr>
            <w:r/>
            <w:r>
              <w:rPr>
                <w:rFonts w:ascii="Calibri" w:hAnsi="Calibri"/>
                <w:b w:val="0"/>
                <w:sz w:val="17"/>
              </w:rPr>
              <w:t>Monitor errors by period and segment; retrain only with validation and change control.</w:t>
            </w:r>
          </w:p>
        </w:tc>
      </w:tr>
      <w:tr>
        <w:tc>
          <w:tcPr>
            <w:tcW w:type="dxa" w:w="4968"/>
            <w:vAlign w:val="center"/>
          </w:tcPr>
          <w:p>
            <w:pPr>
              <w:keepLines/>
              <w:spacing w:after="0"/>
            </w:pPr>
            <w:r/>
            <w:r>
              <w:rPr>
                <w:rFonts w:ascii="Calibri" w:hAnsi="Calibri"/>
                <w:b/>
                <w:sz w:val="17"/>
              </w:rPr>
              <w:t>Optimization infeasibility</w:t>
            </w:r>
          </w:p>
        </w:tc>
        <w:tc>
          <w:tcPr>
            <w:tcW w:type="dxa" w:w="4968"/>
            <w:vAlign w:val="center"/>
          </w:tcPr>
          <w:p>
            <w:pPr>
              <w:keepLines/>
              <w:spacing w:after="0"/>
            </w:pPr>
            <w:r/>
            <w:r>
              <w:rPr>
                <w:rFonts w:ascii="Calibri" w:hAnsi="Calibri"/>
                <w:b w:val="0"/>
                <w:sz w:val="17"/>
              </w:rPr>
              <w:t>Encode capacity/time-window/driver constraints and validate plans with dispatch staff.</w:t>
            </w:r>
          </w:p>
        </w:tc>
      </w:tr>
      <w:tr>
        <w:tc>
          <w:tcPr>
            <w:tcW w:type="dxa" w:w="4968"/>
            <w:vAlign w:val="center"/>
          </w:tcPr>
          <w:p>
            <w:pPr>
              <w:keepLines/>
              <w:spacing w:after="0"/>
            </w:pPr>
            <w:r/>
            <w:r>
              <w:rPr>
                <w:rFonts w:ascii="Calibri" w:hAnsi="Calibri"/>
                <w:b/>
                <w:sz w:val="17"/>
              </w:rPr>
              <w:t>Privacy and access risks</w:t>
            </w:r>
          </w:p>
        </w:tc>
        <w:tc>
          <w:tcPr>
            <w:tcW w:type="dxa" w:w="4968"/>
            <w:vAlign w:val="center"/>
          </w:tcPr>
          <w:p>
            <w:pPr>
              <w:keepLines/>
              <w:spacing w:after="0"/>
            </w:pPr>
            <w:r/>
            <w:r>
              <w:rPr>
                <w:rFonts w:ascii="Calibri" w:hAnsi="Calibri"/>
                <w:b w:val="0"/>
                <w:sz w:val="17"/>
              </w:rPr>
              <w:t>Minimize personal data, follow organizational policies, restrict access, and document retention.</w:t>
            </w:r>
          </w:p>
        </w:tc>
      </w:tr>
      <w:tr>
        <w:tc>
          <w:tcPr>
            <w:tcW w:type="dxa" w:w="4968"/>
            <w:vAlign w:val="center"/>
          </w:tcPr>
          <w:p>
            <w:pPr>
              <w:keepLines/>
              <w:spacing w:after="0"/>
            </w:pPr>
            <w:r/>
            <w:r>
              <w:rPr>
                <w:rFonts w:ascii="Calibri" w:hAnsi="Calibri"/>
                <w:b/>
                <w:sz w:val="17"/>
              </w:rPr>
              <w:t>Overstating causality</w:t>
            </w:r>
          </w:p>
        </w:tc>
        <w:tc>
          <w:tcPr>
            <w:tcW w:type="dxa" w:w="4968"/>
            <w:vAlign w:val="center"/>
          </w:tcPr>
          <w:p>
            <w:pPr>
              <w:keepLines/>
              <w:spacing w:after="0"/>
            </w:pPr>
            <w:r/>
            <w:r>
              <w:rPr>
                <w:rFonts w:ascii="Calibri" w:hAnsi="Calibri"/>
                <w:b w:val="0"/>
                <w:sz w:val="17"/>
              </w:rPr>
              <w:t>Describe associations as associations unless a suitable causal design supports stronger claims.</w:t>
            </w:r>
          </w:p>
        </w:tc>
      </w:tr>
    </w:tbl>
    <w:p>
      <w:pPr>
        <w:pStyle w:val="Heading1"/>
      </w:pPr>
      <w:r>
        <w:t>13. Expected Outcomes and Decision-Making Impact</w:t>
      </w:r>
    </w:p>
    <w:p>
      <w:r>
        <w:t>If appropriate, complete, and reliable data are available, this workflow is expected to produce a documented baseline of delivery performance, a clear view of data-quality limitations, identification of segments that warrant investigation, and a defensible plan for forecasting or route optimization. The analysis may help managers prioritize routes or time windows for review, plan capacity more consistently, and assess trade-offs between service reliability, travel time, distance, and cost.</w:t>
      </w:r>
    </w:p>
    <w:p>
      <w:r>
        <w:t>These are expected outcomes, not guaranteed results. The project should report actual findings only after the data are analyzed and the methods are validated. Recommendations should include the evidence, assumptions, likely trade-offs, responsible owner, and a measurable follow-up KPI.</w:t>
      </w:r>
    </w:p>
    <w:p>
      <w:pPr>
        <w:pStyle w:val="Heading1"/>
      </w:pPr>
      <w:r>
        <w:t>14. Conclusion</w:t>
      </w:r>
    </w:p>
    <w:p>
      <w:r>
        <w:t>This report defines a realistic logistics analytics problem and a feasible sequence for addressing it. It identifies KPIs, specifies data requirements, describes research resources, outlines data preparation and EDA, and explains how regression, clustering, and optimization could be used. The proposed Python examples provide a starting point for reproducible analysis. The key principle is to move from a clearly defined business question to validated data, transparent analysis, and operationally feasible recommendations. Actual performance improvements can be claimed only after a pilot is measured against a suitable baseline.</w:t>
      </w:r>
    </w:p>
    <w:p>
      <w:pPr>
        <w:pStyle w:val="Heading1"/>
      </w:pPr>
      <w:r>
        <w:t>15. Submission and Reproducibility Checklist</w:t>
      </w:r>
    </w:p>
    <w:p>
      <w:pPr>
        <w:pStyle w:val="ListBullet"/>
        <w:spacing w:after="40"/>
      </w:pPr>
      <w:r>
        <w:t>☐ Scenario and problem statement are explicit.</w:t>
      </w:r>
    </w:p>
    <w:p>
      <w:pPr>
        <w:pStyle w:val="ListBullet"/>
        <w:spacing w:after="40"/>
      </w:pPr>
      <w:r>
        <w:t>☐ At least three relevant KPIs are defined with formulas and units.</w:t>
      </w:r>
    </w:p>
    <w:p>
      <w:pPr>
        <w:pStyle w:val="ListBullet"/>
        <w:spacing w:after="40"/>
      </w:pPr>
      <w:r>
        <w:t>☐ Public sources are listed and their limits are acknowledged.</w:t>
      </w:r>
    </w:p>
    <w:p>
      <w:pPr>
        <w:pStyle w:val="ListBullet"/>
        <w:spacing w:after="40"/>
      </w:pPr>
      <w:r>
        <w:t>☐ Data fields, collection plan, privacy, and quality checks are documented.</w:t>
      </w:r>
    </w:p>
    <w:p>
      <w:pPr>
        <w:pStyle w:val="ListBullet"/>
        <w:spacing w:after="40"/>
      </w:pPr>
      <w:r>
        <w:t>☐ Roadmap includes collection, cleaning, EDA, predictive modeling, validation, and monitoring.</w:t>
      </w:r>
    </w:p>
    <w:p>
      <w:pPr>
        <w:pStyle w:val="ListBullet"/>
        <w:spacing w:after="40"/>
      </w:pPr>
      <w:r>
        <w:t>☐ Regression, clustering, and optimization are explained in the logistics context.</w:t>
      </w:r>
    </w:p>
    <w:p>
      <w:pPr>
        <w:pStyle w:val="ListBullet"/>
        <w:spacing w:after="40"/>
      </w:pPr>
      <w:r>
        <w:t>☐ Python code illustration is included and labeled as illustrative.</w:t>
      </w:r>
    </w:p>
    <w:p>
      <w:pPr>
        <w:pStyle w:val="ListBullet"/>
        <w:spacing w:after="40"/>
      </w:pPr>
      <w:r>
        <w:t>☐ Expected outcomes are distinguished from measured results.</w:t>
      </w:r>
    </w:p>
    <w:p>
      <w:pPr>
        <w:pStyle w:val="ListBullet"/>
        <w:spacing w:after="40"/>
      </w:pPr>
      <w:r>
        <w:t>☐ The final version is proofread and saved as a .docx file.</w:t>
      </w:r>
    </w:p>
    <w:p>
      <w:pPr>
        <w:pStyle w:val="Heading1"/>
      </w:pPr>
      <w:r>
        <w:t>References</w:t>
      </w:r>
    </w:p>
    <w:p>
      <w:pPr>
        <w:pStyle w:val="ListBullet"/>
        <w:spacing w:after="40"/>
      </w:pPr>
      <w:r>
        <w:t>World Bank. Logistics Performance Index. https://lpi.worldbank.org/</w:t>
      </w:r>
    </w:p>
    <w:p>
      <w:pPr>
        <w:pStyle w:val="ListBullet"/>
        <w:spacing w:after="40"/>
      </w:pPr>
      <w:r>
        <w:t>U.S. Bureau of Transportation Statistics. https://www.bts.gov/</w:t>
      </w:r>
    </w:p>
    <w:p>
      <w:pPr>
        <w:pStyle w:val="ListBullet"/>
        <w:spacing w:after="40"/>
      </w:pPr>
      <w:r>
        <w:t>pandas documentation. https://pandas.pydata.org/docs/</w:t>
      </w:r>
    </w:p>
    <w:p>
      <w:pPr>
        <w:pStyle w:val="ListBullet"/>
        <w:spacing w:after="40"/>
      </w:pPr>
      <w:r>
        <w:t>scikit-learn documentation. https://scikit-learn.org/stable/</w:t>
      </w:r>
    </w:p>
    <w:p>
      <w:pPr>
        <w:pStyle w:val="ListBullet"/>
        <w:spacing w:after="40"/>
      </w:pPr>
      <w:r>
        <w:t>Google OR-Tools documentation. https://developers.google.com/optimization</w:t>
      </w:r>
    </w:p>
    <w:p>
      <w:pPr>
        <w:pStyle w:val="ListBullet"/>
        <w:spacing w:after="40"/>
      </w:pPr>
      <w:r>
        <w:t>Kaggle Datasets. https://www.kaggle.com/datasets</w:t>
      </w:r>
    </w:p>
    <w:p>
      <w:r>
        <w:t>Source-use note: these are starting points for publicly available context and technical documentation. Record the specific page, dataset version, license, and access date for any source actually used in a final empirical analysis.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Strategic Planning and Data Exploration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PROJECT REPORT  |  LOGISTICS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