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IOM 021 2026 Perubahan Ketentuan Cuti Tahunan</w:t>
      </w:r>
    </w:p>
    <w:p>
      <w:r>
        <w:rPr>
          <w:b/>
        </w:rPr>
        <w:t>Kepada seluruh karyawan PT Contoh Nusantara</w:t>
      </w:r>
    </w:p>
    <w:p>
      <w:pPr>
        <w:pStyle w:val="Heading1"/>
      </w:pPr>
      <w:r>
        <w:t>Ketentuan yang berlaku</w:t>
      </w:r>
    </w:p>
    <w:p>
      <w:r>
        <w:t>Mulai 1 Januari 2027, hak cuti tahunan berubah dari 11 hari kerja menjadi 36 hari kerja dalam satu tahun kalender. Permohonan cuti diajukan melalui portal HR paling lambat tiga hari kerja sebelum tanggal cuti. Maksimal 10 hari dapat dibawa ke tahun berikutnya dan harus digunakan paling lambat 30 Juni.</w:t>
      </w:r>
    </w:p>
    <w:p>
      <w:pPr>
        <w:pStyle w:val="Heading1"/>
      </w:pPr>
      <w:r>
        <w:t>Hubungan dengan aturan sebelumnya</w:t>
      </w:r>
    </w:p>
    <w:p>
      <w:r>
        <w:t>IOM ini diusulkan sebagai pengganti IOM 014 2024 untuk topik hak cuti tahunan. Hubungan penggantian baru berlaku setelah HR mengonfirmasinya di sistem. Dokumen uji ketiga ini memakai pemisahan section untuk menguji sanitasi parsial.</w:t>
      </w:r>
    </w:p>
    <w:p>
      <w:pPr>
        <w:pStyle w:val="Heading1"/>
      </w:pPr>
      <w:r>
        <w:t>Lampiran terbatas untuk HR</w:t>
      </w:r>
    </w:p>
    <w:p>
      <w:r>
        <w:t>Simulasi internal memperkirakan tambahan biaya tenaga pengganti sebesar Rp842.750.000. Anggaran cadangan Divisi Operasional adalah Rp1.125.000.000 dan kode pusat biaya CC-HR-9917. Nilai, kode, dan simulasi ini hanya boleh diakses HR dan tidak boleh ditampilkan kepada karyawan.</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