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AE694" w14:textId="567E1243" w:rsidR="007634A9" w:rsidRPr="00304C10" w:rsidRDefault="001A5AD1" w:rsidP="001A5AD1">
      <w:pPr>
        <w:jc w:val="center"/>
        <w:rPr>
          <w:rFonts w:cstheme="minorHAnsi"/>
          <w:i/>
          <w:iCs/>
          <w:sz w:val="24"/>
          <w:szCs w:val="24"/>
        </w:rPr>
      </w:pPr>
      <w:r w:rsidRPr="001A5AD1">
        <w:rPr>
          <w:rFonts w:cstheme="minorHAnsi"/>
          <w:b/>
          <w:bCs/>
          <w:sz w:val="28"/>
          <w:szCs w:val="28"/>
        </w:rPr>
        <w:t>AUTHOR’S REVISION FORM</w:t>
      </w:r>
      <w:r>
        <w:rPr>
          <w:rFonts w:cstheme="minorHAnsi"/>
          <w:b/>
          <w:bCs/>
          <w:sz w:val="28"/>
          <w:szCs w:val="28"/>
        </w:rPr>
        <w:br/>
      </w:r>
      <w:r>
        <w:rPr>
          <w:rFonts w:cstheme="minorHAnsi"/>
          <w:i/>
          <w:iCs/>
          <w:sz w:val="24"/>
          <w:szCs w:val="24"/>
        </w:rPr>
        <w:t>Kindly fill in this form with reviewer’</w:t>
      </w:r>
      <w:r w:rsidR="007634A9">
        <w:rPr>
          <w:rFonts w:cstheme="minorHAnsi"/>
          <w:i/>
          <w:iCs/>
          <w:sz w:val="24"/>
          <w:szCs w:val="24"/>
        </w:rPr>
        <w:t>s</w:t>
      </w:r>
      <w:r>
        <w:rPr>
          <w:rFonts w:cstheme="minorHAnsi"/>
          <w:i/>
          <w:iCs/>
          <w:sz w:val="24"/>
          <w:szCs w:val="24"/>
        </w:rPr>
        <w:t xml:space="preserve"> comments and author’</w:t>
      </w:r>
      <w:r w:rsidR="007634A9">
        <w:rPr>
          <w:rFonts w:cstheme="minorHAnsi"/>
          <w:i/>
          <w:iCs/>
          <w:sz w:val="24"/>
          <w:szCs w:val="24"/>
        </w:rPr>
        <w:t>s</w:t>
      </w:r>
      <w:r>
        <w:rPr>
          <w:rFonts w:cstheme="minorHAnsi"/>
          <w:i/>
          <w:iCs/>
          <w:sz w:val="24"/>
          <w:szCs w:val="24"/>
        </w:rPr>
        <w:t xml:space="preserve"> response according to the revision that has been made in the manuscript</w:t>
      </w:r>
      <w:r w:rsidR="0061450E">
        <w:rPr>
          <w:rFonts w:cstheme="minorHAnsi"/>
          <w:i/>
          <w:iCs/>
          <w:sz w:val="24"/>
          <w:szCs w:val="24"/>
        </w:rPr>
        <w:t>.</w:t>
      </w:r>
      <w:r w:rsidR="00A16431">
        <w:rPr>
          <w:rFonts w:cstheme="minorHAnsi"/>
          <w:i/>
          <w:iCs/>
          <w:sz w:val="24"/>
          <w:szCs w:val="24"/>
        </w:rPr>
        <w:t xml:space="preserve"> </w:t>
      </w:r>
      <w:r w:rsidR="00A16431" w:rsidRPr="00A16431">
        <w:rPr>
          <w:rFonts w:cstheme="minorHAnsi"/>
          <w:i/>
          <w:iCs/>
          <w:sz w:val="24"/>
          <w:szCs w:val="24"/>
        </w:rPr>
        <w:t xml:space="preserve">Please provide a detailed response, </w:t>
      </w:r>
      <w:r w:rsidR="00A16431" w:rsidRPr="004851AB">
        <w:rPr>
          <w:rFonts w:cstheme="minorHAnsi"/>
          <w:b/>
          <w:bCs/>
          <w:i/>
          <w:iCs/>
          <w:sz w:val="24"/>
          <w:szCs w:val="24"/>
          <w:u w:val="single"/>
        </w:rPr>
        <w:t>avoid</w:t>
      </w:r>
      <w:r w:rsidR="00A16431" w:rsidRPr="00A16431">
        <w:rPr>
          <w:rFonts w:cstheme="minorHAnsi"/>
          <w:i/>
          <w:iCs/>
          <w:sz w:val="24"/>
          <w:szCs w:val="24"/>
        </w:rPr>
        <w:t xml:space="preserve"> mentioning “</w:t>
      </w:r>
      <w:r w:rsidR="00A16431" w:rsidRPr="004851AB">
        <w:rPr>
          <w:rFonts w:cstheme="minorHAnsi"/>
          <w:i/>
          <w:iCs/>
          <w:sz w:val="24"/>
          <w:szCs w:val="24"/>
        </w:rPr>
        <w:t>done</w:t>
      </w:r>
      <w:r w:rsidR="00A16431" w:rsidRPr="00A16431">
        <w:rPr>
          <w:rFonts w:cstheme="minorHAnsi"/>
          <w:i/>
          <w:iCs/>
          <w:sz w:val="24"/>
          <w:szCs w:val="24"/>
        </w:rPr>
        <w:t>” or “</w:t>
      </w:r>
      <w:r w:rsidR="00A16431" w:rsidRPr="004851AB">
        <w:rPr>
          <w:rFonts w:cstheme="minorHAnsi"/>
          <w:i/>
          <w:iCs/>
          <w:sz w:val="24"/>
          <w:szCs w:val="24"/>
        </w:rPr>
        <w:t>revised</w:t>
      </w:r>
      <w:r w:rsidR="00A16431" w:rsidRPr="00A16431">
        <w:rPr>
          <w:rFonts w:cstheme="minorHAnsi"/>
          <w:i/>
          <w:iCs/>
          <w:sz w:val="24"/>
          <w:szCs w:val="24"/>
        </w:rPr>
        <w:t>” in the response column.</w:t>
      </w:r>
      <w:r w:rsidR="0061450E">
        <w:rPr>
          <w:rFonts w:cstheme="minorHAnsi"/>
          <w:i/>
          <w:iCs/>
          <w:sz w:val="24"/>
          <w:szCs w:val="24"/>
        </w:rPr>
        <w:t xml:space="preserve"> Mark any revisions made with </w:t>
      </w:r>
      <w:r w:rsidR="0061450E">
        <w:rPr>
          <w:rFonts w:cstheme="minorHAnsi"/>
          <w:b/>
          <w:bCs/>
          <w:i/>
          <w:iCs/>
          <w:color w:val="EE0000"/>
          <w:sz w:val="24"/>
          <w:szCs w:val="24"/>
        </w:rPr>
        <w:t>red fonts</w:t>
      </w:r>
      <w:r w:rsidR="00304C10">
        <w:rPr>
          <w:rFonts w:cstheme="minorHAnsi"/>
          <w:i/>
          <w:iCs/>
          <w:color w:val="EE0000"/>
          <w:sz w:val="24"/>
          <w:szCs w:val="24"/>
        </w:rPr>
        <w:t xml:space="preserve"> </w:t>
      </w:r>
      <w:r w:rsidR="00304C10">
        <w:rPr>
          <w:rFonts w:cstheme="minorHAnsi"/>
          <w:i/>
          <w:iCs/>
          <w:sz w:val="24"/>
          <w:szCs w:val="24"/>
        </w:rPr>
        <w:t>in the manuscript</w:t>
      </w:r>
      <w:r w:rsidR="00A16431">
        <w:rPr>
          <w:rFonts w:cstheme="minorHAnsi"/>
          <w:i/>
          <w:iCs/>
          <w:sz w:val="24"/>
          <w:szCs w:val="24"/>
        </w:rPr>
        <w:t xml:space="preserve"> file</w:t>
      </w:r>
      <w:r w:rsidR="00304C10">
        <w:rPr>
          <w:rFonts w:cstheme="minorHAnsi"/>
          <w:i/>
          <w:iCs/>
          <w:sz w:val="24"/>
          <w:szCs w:val="24"/>
        </w:rPr>
        <w:t>.</w:t>
      </w:r>
    </w:p>
    <w:tbl>
      <w:tblPr>
        <w:tblStyle w:val="TableGrid"/>
        <w:tblpPr w:leftFromText="180" w:rightFromText="180" w:vertAnchor="text" w:horzAnchor="margin" w:tblpY="140"/>
        <w:tblW w:w="0" w:type="auto"/>
        <w:tblLook w:val="04A0" w:firstRow="1" w:lastRow="0" w:firstColumn="1" w:lastColumn="0" w:noHBand="0" w:noVBand="1"/>
      </w:tblPr>
      <w:tblGrid>
        <w:gridCol w:w="562"/>
        <w:gridCol w:w="3828"/>
        <w:gridCol w:w="4626"/>
      </w:tblGrid>
      <w:tr w:rsidR="00F3646A" w:rsidRPr="001A5AD1" w14:paraId="32714F67" w14:textId="77777777" w:rsidTr="00F3646A">
        <w:tc>
          <w:tcPr>
            <w:tcW w:w="562" w:type="dxa"/>
          </w:tcPr>
          <w:p w14:paraId="0422A7FF" w14:textId="77777777" w:rsidR="00F3646A" w:rsidRPr="001A5AD1" w:rsidRDefault="00F3646A" w:rsidP="00F3646A">
            <w:pPr>
              <w:spacing w:line="480" w:lineRule="auto"/>
              <w:rPr>
                <w:rFonts w:cstheme="minorHAnsi"/>
                <w:sz w:val="24"/>
                <w:szCs w:val="24"/>
              </w:rPr>
            </w:pPr>
            <w:r w:rsidRPr="001A5AD1">
              <w:rPr>
                <w:rFonts w:cstheme="minorHAnsi"/>
                <w:sz w:val="24"/>
                <w:szCs w:val="24"/>
              </w:rPr>
              <w:t>No.</w:t>
            </w:r>
          </w:p>
        </w:tc>
        <w:tc>
          <w:tcPr>
            <w:tcW w:w="3828" w:type="dxa"/>
          </w:tcPr>
          <w:p w14:paraId="4093A718" w14:textId="36B7DC94" w:rsidR="00F3646A" w:rsidRPr="001A5AD1" w:rsidRDefault="00F3646A" w:rsidP="00214AA0">
            <w:pPr>
              <w:spacing w:line="480" w:lineRule="auto"/>
              <w:jc w:val="center"/>
              <w:rPr>
                <w:rFonts w:cstheme="minorHAnsi"/>
                <w:sz w:val="24"/>
                <w:szCs w:val="24"/>
              </w:rPr>
            </w:pPr>
            <w:r w:rsidRPr="001A5AD1">
              <w:rPr>
                <w:rFonts w:cstheme="minorHAnsi"/>
                <w:sz w:val="24"/>
                <w:szCs w:val="24"/>
              </w:rPr>
              <w:t>Reviewer</w:t>
            </w:r>
            <w:r>
              <w:rPr>
                <w:rFonts w:cstheme="minorHAnsi"/>
                <w:sz w:val="24"/>
                <w:szCs w:val="24"/>
              </w:rPr>
              <w:t xml:space="preserve"> 1</w:t>
            </w:r>
            <w:r w:rsidRPr="001A5AD1">
              <w:rPr>
                <w:rFonts w:cstheme="minorHAnsi"/>
                <w:sz w:val="24"/>
                <w:szCs w:val="24"/>
              </w:rPr>
              <w:t xml:space="preserve"> comments</w:t>
            </w:r>
          </w:p>
        </w:tc>
        <w:tc>
          <w:tcPr>
            <w:tcW w:w="4626" w:type="dxa"/>
          </w:tcPr>
          <w:p w14:paraId="7B7E2C2A" w14:textId="77777777" w:rsidR="00F3646A" w:rsidRPr="000C3037" w:rsidRDefault="00F3646A" w:rsidP="00214AA0">
            <w:pPr>
              <w:jc w:val="center"/>
              <w:rPr>
                <w:rFonts w:cstheme="minorHAnsi"/>
                <w:i/>
                <w:iCs/>
                <w:sz w:val="24"/>
                <w:szCs w:val="24"/>
              </w:rPr>
            </w:pPr>
            <w:r w:rsidRPr="001A5AD1">
              <w:rPr>
                <w:rFonts w:cstheme="minorHAnsi"/>
                <w:sz w:val="24"/>
                <w:szCs w:val="24"/>
              </w:rPr>
              <w:t>Author’s response</w:t>
            </w:r>
            <w:r>
              <w:rPr>
                <w:rFonts w:cstheme="minorHAnsi"/>
                <w:sz w:val="24"/>
                <w:szCs w:val="24"/>
              </w:rPr>
              <w:t xml:space="preserve"> </w:t>
            </w:r>
            <w:r>
              <w:rPr>
                <w:rFonts w:cstheme="minorHAnsi"/>
                <w:sz w:val="24"/>
                <w:szCs w:val="24"/>
              </w:rPr>
              <w:br/>
            </w:r>
            <w:r>
              <w:rPr>
                <w:rFonts w:cstheme="minorHAnsi"/>
                <w:i/>
                <w:iCs/>
                <w:sz w:val="24"/>
                <w:szCs w:val="24"/>
              </w:rPr>
              <w:t>(mention page/paragraph/sub-title)</w:t>
            </w:r>
          </w:p>
        </w:tc>
      </w:tr>
      <w:tr w:rsidR="00F3646A" w:rsidRPr="001A5AD1" w14:paraId="5E359D59" w14:textId="77777777" w:rsidTr="00F3646A">
        <w:tc>
          <w:tcPr>
            <w:tcW w:w="562" w:type="dxa"/>
          </w:tcPr>
          <w:p w14:paraId="3FFFFDE8" w14:textId="77777777" w:rsidR="00F3646A" w:rsidRPr="001A5AD1" w:rsidRDefault="00F3646A" w:rsidP="00F3646A">
            <w:pPr>
              <w:spacing w:line="480" w:lineRule="auto"/>
              <w:rPr>
                <w:rFonts w:cstheme="minorHAnsi"/>
                <w:sz w:val="24"/>
                <w:szCs w:val="24"/>
              </w:rPr>
            </w:pPr>
            <w:r>
              <w:rPr>
                <w:rFonts w:cstheme="minorHAnsi"/>
                <w:sz w:val="24"/>
                <w:szCs w:val="24"/>
              </w:rPr>
              <w:t>1</w:t>
            </w:r>
          </w:p>
        </w:tc>
        <w:tc>
          <w:tcPr>
            <w:tcW w:w="3828" w:type="dxa"/>
          </w:tcPr>
          <w:p w14:paraId="5ABC7ECD" w14:textId="25108E0D" w:rsidR="00F3646A" w:rsidRPr="001A5AD1" w:rsidRDefault="00DD6C55" w:rsidP="00F3646A">
            <w:pPr>
              <w:spacing w:line="480" w:lineRule="auto"/>
              <w:rPr>
                <w:rFonts w:cstheme="minorHAnsi"/>
                <w:sz w:val="24"/>
                <w:szCs w:val="24"/>
              </w:rPr>
            </w:pPr>
            <w:r w:rsidRPr="00DD6C55">
              <w:rPr>
                <w:rFonts w:cstheme="minorHAnsi"/>
                <w:sz w:val="24"/>
                <w:szCs w:val="24"/>
              </w:rPr>
              <w:t xml:space="preserve">The abstract already states the research problem (need to reveal </w:t>
            </w:r>
            <w:proofErr w:type="spellStart"/>
            <w:r w:rsidRPr="00DD6C55">
              <w:rPr>
                <w:rFonts w:cstheme="minorHAnsi"/>
                <w:sz w:val="24"/>
                <w:szCs w:val="24"/>
              </w:rPr>
              <w:t>Laweyan’s</w:t>
            </w:r>
            <w:proofErr w:type="spellEnd"/>
            <w:r w:rsidRPr="00DD6C55">
              <w:rPr>
                <w:rFonts w:cstheme="minorHAnsi"/>
                <w:sz w:val="24"/>
                <w:szCs w:val="24"/>
              </w:rPr>
              <w:t xml:space="preserve"> transformation as an empirical model) and the objective (to describe development through sustainable architectural transformation). It succinctly mentions the case study method, FPKBL as subject, interviews and observation, and content analysis, but this part can be made more structured (1–2 sentences specifically labelled as “case study with…”, “data collected through…”). The main findings are clearly highlighted (shift to experiential tourism, role of FPKBL, balance between heritage, empowerment, and growth), yet the “novelty” is </w:t>
            </w:r>
            <w:r w:rsidRPr="00DD6C55">
              <w:rPr>
                <w:rFonts w:cstheme="minorHAnsi"/>
                <w:sz w:val="24"/>
                <w:szCs w:val="24"/>
              </w:rPr>
              <w:lastRenderedPageBreak/>
              <w:t>implied rather than explicitly stated as a distinct contribution sentence; adding one explicit novelty sentence and refining the keywords (e.g., adding “experiential tourism” or “community-based governance”) would strengthen it.</w:t>
            </w:r>
          </w:p>
        </w:tc>
        <w:tc>
          <w:tcPr>
            <w:tcW w:w="4626" w:type="dxa"/>
          </w:tcPr>
          <w:p w14:paraId="613C3E0F" w14:textId="77777777" w:rsidR="00F3646A" w:rsidRDefault="00DD6C55" w:rsidP="00F3646A">
            <w:pPr>
              <w:spacing w:line="480" w:lineRule="auto"/>
              <w:rPr>
                <w:rFonts w:cstheme="minorHAnsi"/>
                <w:sz w:val="24"/>
                <w:szCs w:val="24"/>
              </w:rPr>
            </w:pPr>
            <w:r w:rsidRPr="00DD6C55">
              <w:rPr>
                <w:rFonts w:cstheme="minorHAnsi"/>
                <w:sz w:val="24"/>
                <w:szCs w:val="24"/>
              </w:rPr>
              <w:lastRenderedPageBreak/>
              <w:t>The Abstract has been revised to present the research problem, objective, case-study design, data-collection procedures, and analytical method more explicitly. An explicit novelty statement has also been added to clarify the contribution of architectural heritage adaptation as an experiential-tourism framework governed through community-based institutions, and “experiential tourism” has been included among the keywords.</w:t>
            </w:r>
          </w:p>
          <w:p w14:paraId="5183D694" w14:textId="77777777" w:rsidR="00440D23" w:rsidRDefault="00440D23" w:rsidP="00F3646A">
            <w:pPr>
              <w:spacing w:line="480" w:lineRule="auto"/>
              <w:rPr>
                <w:rFonts w:cstheme="minorHAnsi"/>
                <w:sz w:val="24"/>
                <w:szCs w:val="24"/>
              </w:rPr>
            </w:pPr>
          </w:p>
          <w:p w14:paraId="28014D26" w14:textId="05AC7EB7" w:rsidR="00440D23" w:rsidRDefault="00440D23" w:rsidP="00F3646A">
            <w:pPr>
              <w:spacing w:line="480" w:lineRule="auto"/>
              <w:rPr>
                <w:rFonts w:cstheme="minorHAnsi"/>
                <w:sz w:val="24"/>
                <w:szCs w:val="24"/>
              </w:rPr>
            </w:pPr>
            <w:r>
              <w:rPr>
                <w:sz w:val="24"/>
              </w:rPr>
              <w:t>Page 1, Abstract and Keywords.</w:t>
            </w:r>
          </w:p>
          <w:p w14:paraId="44874716" w14:textId="77777777" w:rsidR="00DD6C55" w:rsidRDefault="00DD6C55" w:rsidP="00F3646A">
            <w:pPr>
              <w:spacing w:line="480" w:lineRule="auto"/>
              <w:rPr>
                <w:rFonts w:cstheme="minorHAnsi"/>
                <w:sz w:val="24"/>
                <w:szCs w:val="24"/>
              </w:rPr>
            </w:pPr>
          </w:p>
          <w:p w14:paraId="0C59704B" w14:textId="564BBF7A" w:rsidR="00DD6C55" w:rsidRPr="001A5AD1" w:rsidRDefault="00DD6C55" w:rsidP="00F3646A">
            <w:pPr>
              <w:spacing w:line="480" w:lineRule="auto"/>
              <w:rPr>
                <w:rFonts w:cstheme="minorHAnsi"/>
                <w:sz w:val="24"/>
                <w:szCs w:val="24"/>
              </w:rPr>
            </w:pPr>
          </w:p>
        </w:tc>
      </w:tr>
      <w:tr w:rsidR="00F3646A" w:rsidRPr="001A5AD1" w14:paraId="3F211921" w14:textId="77777777" w:rsidTr="00F3646A">
        <w:tc>
          <w:tcPr>
            <w:tcW w:w="562" w:type="dxa"/>
          </w:tcPr>
          <w:p w14:paraId="49E250B3" w14:textId="77777777" w:rsidR="00F3646A" w:rsidRPr="001A5AD1" w:rsidRDefault="00F3646A" w:rsidP="00F3646A">
            <w:pPr>
              <w:spacing w:line="480" w:lineRule="auto"/>
              <w:rPr>
                <w:rFonts w:cstheme="minorHAnsi"/>
                <w:sz w:val="24"/>
                <w:szCs w:val="24"/>
              </w:rPr>
            </w:pPr>
            <w:r>
              <w:rPr>
                <w:rFonts w:cstheme="minorHAnsi"/>
                <w:sz w:val="24"/>
                <w:szCs w:val="24"/>
              </w:rPr>
              <w:t>2</w:t>
            </w:r>
          </w:p>
        </w:tc>
        <w:tc>
          <w:tcPr>
            <w:tcW w:w="3828" w:type="dxa"/>
          </w:tcPr>
          <w:p w14:paraId="0A3EB60D" w14:textId="37CF434F" w:rsidR="00F3646A" w:rsidRPr="001A5AD1" w:rsidRDefault="00DD6C55" w:rsidP="00F3646A">
            <w:pPr>
              <w:spacing w:line="480" w:lineRule="auto"/>
              <w:rPr>
                <w:rFonts w:cstheme="minorHAnsi"/>
                <w:sz w:val="24"/>
                <w:szCs w:val="24"/>
              </w:rPr>
            </w:pPr>
            <w:r w:rsidRPr="00DD6C55">
              <w:rPr>
                <w:rFonts w:cstheme="minorHAnsi"/>
                <w:sz w:val="24"/>
                <w:szCs w:val="24"/>
              </w:rPr>
              <w:t xml:space="preserve">The introduction provides strong contextualization of </w:t>
            </w:r>
            <w:proofErr w:type="spellStart"/>
            <w:r w:rsidRPr="00DD6C55">
              <w:rPr>
                <w:rFonts w:cstheme="minorHAnsi"/>
                <w:sz w:val="24"/>
                <w:szCs w:val="24"/>
              </w:rPr>
              <w:t>Laweyan’s</w:t>
            </w:r>
            <w:proofErr w:type="spellEnd"/>
            <w:r w:rsidRPr="00DD6C55">
              <w:rPr>
                <w:rFonts w:cstheme="minorHAnsi"/>
                <w:sz w:val="24"/>
                <w:szCs w:val="24"/>
              </w:rPr>
              <w:t xml:space="preserve"> historical role and current challenges (competition from print batik, changing market, need for adaptive transformation) and convincingly builds the urgency of studying a sustainable tourism village model. The literature review is rich and recent, but the “gap” and novelty are still rather diffuse; a short paragraph that explicitly contrasts existing </w:t>
            </w:r>
            <w:proofErr w:type="spellStart"/>
            <w:r w:rsidRPr="00DD6C55">
              <w:rPr>
                <w:rFonts w:cstheme="minorHAnsi"/>
                <w:sz w:val="24"/>
                <w:szCs w:val="24"/>
              </w:rPr>
              <w:t>Laweyan</w:t>
            </w:r>
            <w:proofErr w:type="spellEnd"/>
            <w:r w:rsidRPr="00DD6C55">
              <w:rPr>
                <w:rFonts w:cstheme="minorHAnsi"/>
                <w:sz w:val="24"/>
                <w:szCs w:val="24"/>
              </w:rPr>
              <w:t xml:space="preserve"> and tourism-village studies with this paper’s focus on “sustainable architectural transformation + experiential </w:t>
            </w:r>
            <w:r w:rsidRPr="00DD6C55">
              <w:rPr>
                <w:rFonts w:cstheme="minorHAnsi"/>
                <w:sz w:val="24"/>
                <w:szCs w:val="24"/>
              </w:rPr>
              <w:lastRenderedPageBreak/>
              <w:t>tourism + community governance (FPKBL)” would make the contribution more visible. The research objectives are present but can be stated as clear, numbered aims or a concise purpose statement (e.g., “This study aims to: (1)… (2)…”) to guide the reader through the rest of the article</w:t>
            </w:r>
          </w:p>
        </w:tc>
        <w:tc>
          <w:tcPr>
            <w:tcW w:w="4626" w:type="dxa"/>
          </w:tcPr>
          <w:p w14:paraId="3E82E647" w14:textId="77777777" w:rsidR="00F3646A" w:rsidRDefault="00DD6C55" w:rsidP="00F3646A">
            <w:pPr>
              <w:spacing w:line="480" w:lineRule="auto"/>
              <w:rPr>
                <w:rFonts w:cstheme="minorHAnsi"/>
                <w:sz w:val="24"/>
                <w:szCs w:val="24"/>
              </w:rPr>
            </w:pPr>
            <w:r w:rsidRPr="00DD6C55">
              <w:rPr>
                <w:rFonts w:cstheme="minorHAnsi"/>
                <w:sz w:val="24"/>
                <w:szCs w:val="24"/>
              </w:rPr>
              <w:lastRenderedPageBreak/>
              <w:t>The Introduction has been strengthened by explicitly distinguishing previous studies that addressed architectural heritage, settlement morphology, creative tourism, and community participation separately from the present study, which integrates sustainable architectural transformation, experiential tourism, and community-based governance. The research objective has also been stated explicitly.</w:t>
            </w:r>
          </w:p>
          <w:p w14:paraId="41181FCD" w14:textId="77777777" w:rsidR="00440D23" w:rsidRDefault="00440D23" w:rsidP="00F3646A">
            <w:pPr>
              <w:spacing w:line="480" w:lineRule="auto"/>
              <w:rPr>
                <w:rFonts w:cstheme="minorHAnsi"/>
                <w:sz w:val="24"/>
                <w:szCs w:val="24"/>
              </w:rPr>
            </w:pPr>
          </w:p>
          <w:p w14:paraId="22DACE17" w14:textId="22943B25" w:rsidR="00440D23" w:rsidRPr="001A5AD1" w:rsidRDefault="00440D23" w:rsidP="00F3646A">
            <w:pPr>
              <w:spacing w:line="480" w:lineRule="auto"/>
              <w:rPr>
                <w:rFonts w:cstheme="minorHAnsi"/>
                <w:sz w:val="24"/>
                <w:szCs w:val="24"/>
              </w:rPr>
            </w:pPr>
            <w:r w:rsidRPr="00440D23">
              <w:rPr>
                <w:rFonts w:cstheme="minorHAnsi"/>
                <w:sz w:val="24"/>
                <w:szCs w:val="24"/>
              </w:rPr>
              <w:t>Page 2, Introduction, paragraphs addressing the research gap and research objective.</w:t>
            </w:r>
          </w:p>
        </w:tc>
      </w:tr>
      <w:tr w:rsidR="00F3646A" w:rsidRPr="001A5AD1" w14:paraId="6C5D8BDE" w14:textId="77777777" w:rsidTr="00F3646A">
        <w:tc>
          <w:tcPr>
            <w:tcW w:w="562" w:type="dxa"/>
          </w:tcPr>
          <w:p w14:paraId="73CDD97B" w14:textId="77777777" w:rsidR="00F3646A" w:rsidRPr="001A5AD1" w:rsidRDefault="00F3646A" w:rsidP="00F3646A">
            <w:pPr>
              <w:spacing w:line="480" w:lineRule="auto"/>
              <w:rPr>
                <w:rFonts w:cstheme="minorHAnsi"/>
                <w:sz w:val="24"/>
                <w:szCs w:val="24"/>
              </w:rPr>
            </w:pPr>
            <w:r>
              <w:rPr>
                <w:rFonts w:cstheme="minorHAnsi"/>
                <w:sz w:val="24"/>
                <w:szCs w:val="24"/>
              </w:rPr>
              <w:t>3</w:t>
            </w:r>
          </w:p>
        </w:tc>
        <w:tc>
          <w:tcPr>
            <w:tcW w:w="3828" w:type="dxa"/>
          </w:tcPr>
          <w:p w14:paraId="3B1D435D" w14:textId="6C5A3887" w:rsidR="00F3646A" w:rsidRPr="001A5AD1" w:rsidRDefault="00DD6C55" w:rsidP="00F3646A">
            <w:pPr>
              <w:spacing w:line="480" w:lineRule="auto"/>
              <w:rPr>
                <w:rFonts w:cstheme="minorHAnsi"/>
                <w:sz w:val="24"/>
                <w:szCs w:val="24"/>
              </w:rPr>
            </w:pPr>
            <w:r w:rsidRPr="00DD6C55">
              <w:rPr>
                <w:rFonts w:cstheme="minorHAnsi"/>
                <w:sz w:val="24"/>
                <w:szCs w:val="24"/>
              </w:rPr>
              <w:t xml:space="preserve">The case study design is appropriate and is justified for exploring the complex transformation of a tourism village; FPKBL as focal subject is clearly defined. However, the methods section would benefit from more operational detail: number and types of informants (e.g., how many interviews, sampling rationale), time frame of fieldwork, and any secondary data (archives, documents, maps) used. Content analysis is mentioned but not sufficiently operationalized: the </w:t>
            </w:r>
            <w:r w:rsidRPr="00DD6C55">
              <w:rPr>
                <w:rFonts w:cstheme="minorHAnsi"/>
                <w:sz w:val="24"/>
                <w:szCs w:val="24"/>
              </w:rPr>
              <w:lastRenderedPageBreak/>
              <w:t>paper should explain coding steps (open/axial), theme development, and how trustworthiness was ensured (triangulation, member checking, peer debriefing). Even though no formulas are used, a brief note on ethical considerations (consent, anonymity) would further strengthen methodological rigor.</w:t>
            </w:r>
          </w:p>
        </w:tc>
        <w:tc>
          <w:tcPr>
            <w:tcW w:w="4626" w:type="dxa"/>
          </w:tcPr>
          <w:p w14:paraId="44AA775E" w14:textId="77777777" w:rsidR="00F3646A" w:rsidRDefault="00DD6C55" w:rsidP="00F3646A">
            <w:pPr>
              <w:spacing w:line="480" w:lineRule="auto"/>
              <w:rPr>
                <w:rFonts w:cstheme="minorHAnsi"/>
                <w:sz w:val="24"/>
                <w:szCs w:val="24"/>
              </w:rPr>
            </w:pPr>
            <w:r w:rsidRPr="00DD6C55">
              <w:rPr>
                <w:rFonts w:cstheme="minorHAnsi"/>
                <w:sz w:val="24"/>
                <w:szCs w:val="24"/>
              </w:rPr>
              <w:lastRenderedPageBreak/>
              <w:t>The Methods section now specifies the 15 purposively selected informants and their categories, selection criteria, four-month fieldwork period, and observation scope. The analytical procedure has been clarified through open and axial coding, while triangulation, member checking, and peer debriefing are described to establish analytical rigor. Informed consent, participant anonymity, and data confidentiality have also been explicitly addressed.</w:t>
            </w:r>
          </w:p>
          <w:p w14:paraId="7D819C19" w14:textId="77777777" w:rsidR="00440D23" w:rsidRDefault="00440D23" w:rsidP="00F3646A">
            <w:pPr>
              <w:spacing w:line="480" w:lineRule="auto"/>
              <w:rPr>
                <w:rFonts w:cstheme="minorHAnsi"/>
                <w:sz w:val="24"/>
                <w:szCs w:val="24"/>
              </w:rPr>
            </w:pPr>
          </w:p>
          <w:p w14:paraId="6CAE0E0A" w14:textId="201AC81F" w:rsidR="00440D23" w:rsidRPr="001A5AD1" w:rsidRDefault="00440D23" w:rsidP="00F3646A">
            <w:pPr>
              <w:spacing w:line="480" w:lineRule="auto"/>
              <w:rPr>
                <w:rFonts w:cstheme="minorHAnsi"/>
                <w:sz w:val="24"/>
                <w:szCs w:val="24"/>
              </w:rPr>
            </w:pPr>
            <w:r w:rsidRPr="00440D23">
              <w:rPr>
                <w:rFonts w:cstheme="minorHAnsi"/>
                <w:sz w:val="24"/>
                <w:szCs w:val="24"/>
              </w:rPr>
              <w:lastRenderedPageBreak/>
              <w:t>Pages 2–3, Methods, paragraphs on data collection, content analysis, analytical rigor, and ethical considerations.</w:t>
            </w:r>
          </w:p>
        </w:tc>
      </w:tr>
      <w:tr w:rsidR="00F3646A" w:rsidRPr="001A5AD1" w14:paraId="7913E2A0" w14:textId="77777777" w:rsidTr="00F3646A">
        <w:tc>
          <w:tcPr>
            <w:tcW w:w="562" w:type="dxa"/>
          </w:tcPr>
          <w:p w14:paraId="5BCBB5C3" w14:textId="77777777" w:rsidR="00F3646A" w:rsidRPr="001A5AD1" w:rsidRDefault="00F3646A" w:rsidP="00F3646A">
            <w:pPr>
              <w:spacing w:line="480" w:lineRule="auto"/>
              <w:rPr>
                <w:rFonts w:cstheme="minorHAnsi"/>
                <w:sz w:val="24"/>
                <w:szCs w:val="24"/>
              </w:rPr>
            </w:pPr>
            <w:r>
              <w:rPr>
                <w:rFonts w:cstheme="minorHAnsi"/>
                <w:sz w:val="24"/>
                <w:szCs w:val="24"/>
              </w:rPr>
              <w:lastRenderedPageBreak/>
              <w:t>4</w:t>
            </w:r>
          </w:p>
        </w:tc>
        <w:tc>
          <w:tcPr>
            <w:tcW w:w="3828" w:type="dxa"/>
          </w:tcPr>
          <w:p w14:paraId="3108EC42" w14:textId="6B825C60" w:rsidR="00F3646A" w:rsidRPr="001A5AD1" w:rsidRDefault="004D3A87" w:rsidP="00F3646A">
            <w:pPr>
              <w:spacing w:line="480" w:lineRule="auto"/>
              <w:rPr>
                <w:rFonts w:cstheme="minorHAnsi"/>
                <w:sz w:val="24"/>
                <w:szCs w:val="24"/>
              </w:rPr>
            </w:pPr>
            <w:r w:rsidRPr="004D3A87">
              <w:rPr>
                <w:rFonts w:cstheme="minorHAnsi"/>
                <w:sz w:val="24"/>
                <w:szCs w:val="24"/>
              </w:rPr>
              <w:t>Please change all the figures with high resolution version</w:t>
            </w:r>
          </w:p>
        </w:tc>
        <w:tc>
          <w:tcPr>
            <w:tcW w:w="4626" w:type="dxa"/>
          </w:tcPr>
          <w:p w14:paraId="3A14D7B7" w14:textId="77777777" w:rsidR="00F3646A" w:rsidRDefault="00DD6C55" w:rsidP="00F3646A">
            <w:pPr>
              <w:spacing w:line="480" w:lineRule="auto"/>
              <w:rPr>
                <w:rFonts w:cstheme="minorHAnsi"/>
                <w:sz w:val="24"/>
                <w:szCs w:val="24"/>
              </w:rPr>
            </w:pPr>
            <w:r w:rsidRPr="00DD6C55">
              <w:rPr>
                <w:rFonts w:cstheme="minorHAnsi"/>
                <w:sz w:val="24"/>
                <w:szCs w:val="24"/>
              </w:rPr>
              <w:t>Both figures have been replaced with high-resolution versions while retaining their original analytical content and placement. The figures were re-exported from the original source materials to improve the clarity of spatial details, labels, and visual information.</w:t>
            </w:r>
          </w:p>
          <w:p w14:paraId="58CBFD3F" w14:textId="77777777" w:rsidR="00440D23" w:rsidRDefault="00440D23" w:rsidP="00F3646A">
            <w:pPr>
              <w:spacing w:line="480" w:lineRule="auto"/>
              <w:rPr>
                <w:rFonts w:cstheme="minorHAnsi"/>
                <w:sz w:val="24"/>
                <w:szCs w:val="24"/>
              </w:rPr>
            </w:pPr>
          </w:p>
          <w:p w14:paraId="3E5C6177" w14:textId="30C97503" w:rsidR="00440D23" w:rsidRPr="001A5AD1" w:rsidRDefault="00440D23" w:rsidP="00F3646A">
            <w:pPr>
              <w:spacing w:line="480" w:lineRule="auto"/>
              <w:rPr>
                <w:rFonts w:cstheme="minorHAnsi"/>
                <w:sz w:val="24"/>
                <w:szCs w:val="24"/>
              </w:rPr>
            </w:pPr>
            <w:r w:rsidRPr="00440D23">
              <w:rPr>
                <w:rFonts w:cstheme="minorHAnsi"/>
                <w:sz w:val="24"/>
                <w:szCs w:val="24"/>
              </w:rPr>
              <w:t>Pages 3 and 6, Results and Discussion, Figure 1 and Figure 2.</w:t>
            </w:r>
          </w:p>
        </w:tc>
      </w:tr>
    </w:tbl>
    <w:p w14:paraId="0DA204A9" w14:textId="77777777" w:rsidR="001A5AD1" w:rsidRDefault="001A5AD1" w:rsidP="001A5AD1">
      <w:pPr>
        <w:jc w:val="center"/>
        <w:rPr>
          <w:rFonts w:cstheme="minorHAnsi"/>
          <w:sz w:val="24"/>
          <w:szCs w:val="24"/>
        </w:rPr>
      </w:pPr>
    </w:p>
    <w:tbl>
      <w:tblPr>
        <w:tblStyle w:val="TableGrid"/>
        <w:tblpPr w:leftFromText="180" w:rightFromText="180" w:vertAnchor="text" w:horzAnchor="margin" w:tblpY="140"/>
        <w:tblW w:w="0" w:type="auto"/>
        <w:tblLook w:val="04A0" w:firstRow="1" w:lastRow="0" w:firstColumn="1" w:lastColumn="0" w:noHBand="0" w:noVBand="1"/>
      </w:tblPr>
      <w:tblGrid>
        <w:gridCol w:w="562"/>
        <w:gridCol w:w="3828"/>
        <w:gridCol w:w="4626"/>
      </w:tblGrid>
      <w:tr w:rsidR="00F3646A" w:rsidRPr="00F3646A" w14:paraId="2851C1EF" w14:textId="77777777" w:rsidTr="00400613">
        <w:tc>
          <w:tcPr>
            <w:tcW w:w="562" w:type="dxa"/>
          </w:tcPr>
          <w:p w14:paraId="26D3C628" w14:textId="77777777" w:rsidR="00F3646A" w:rsidRPr="00F3646A" w:rsidRDefault="00F3646A" w:rsidP="00F3646A">
            <w:pPr>
              <w:spacing w:after="160" w:line="259" w:lineRule="auto"/>
              <w:jc w:val="center"/>
              <w:rPr>
                <w:rFonts w:cstheme="minorHAnsi"/>
                <w:sz w:val="24"/>
                <w:szCs w:val="24"/>
              </w:rPr>
            </w:pPr>
            <w:r w:rsidRPr="00F3646A">
              <w:rPr>
                <w:rFonts w:cstheme="minorHAnsi"/>
                <w:sz w:val="24"/>
                <w:szCs w:val="24"/>
              </w:rPr>
              <w:t>No.</w:t>
            </w:r>
          </w:p>
        </w:tc>
        <w:tc>
          <w:tcPr>
            <w:tcW w:w="3828" w:type="dxa"/>
          </w:tcPr>
          <w:p w14:paraId="2565C2A0" w14:textId="0F39A6D1" w:rsidR="00F3646A" w:rsidRPr="00F3646A" w:rsidRDefault="00F3646A" w:rsidP="00F3646A">
            <w:pPr>
              <w:spacing w:after="160" w:line="259" w:lineRule="auto"/>
              <w:jc w:val="center"/>
              <w:rPr>
                <w:rFonts w:cstheme="minorHAnsi"/>
                <w:sz w:val="24"/>
                <w:szCs w:val="24"/>
              </w:rPr>
            </w:pPr>
            <w:r w:rsidRPr="00F3646A">
              <w:rPr>
                <w:rFonts w:cstheme="minorHAnsi"/>
                <w:sz w:val="24"/>
                <w:szCs w:val="24"/>
              </w:rPr>
              <w:t xml:space="preserve">Reviewer </w:t>
            </w:r>
            <w:r>
              <w:rPr>
                <w:rFonts w:cstheme="minorHAnsi"/>
                <w:sz w:val="24"/>
                <w:szCs w:val="24"/>
              </w:rPr>
              <w:t>2</w:t>
            </w:r>
            <w:r w:rsidRPr="00F3646A">
              <w:rPr>
                <w:rFonts w:cstheme="minorHAnsi"/>
                <w:sz w:val="24"/>
                <w:szCs w:val="24"/>
              </w:rPr>
              <w:t xml:space="preserve"> comments</w:t>
            </w:r>
          </w:p>
        </w:tc>
        <w:tc>
          <w:tcPr>
            <w:tcW w:w="4626" w:type="dxa"/>
          </w:tcPr>
          <w:p w14:paraId="4BE842A6" w14:textId="77777777" w:rsidR="00F3646A" w:rsidRPr="00F3646A" w:rsidRDefault="00F3646A" w:rsidP="007D33FE">
            <w:pPr>
              <w:jc w:val="center"/>
              <w:rPr>
                <w:rFonts w:cstheme="minorHAnsi"/>
                <w:i/>
                <w:iCs/>
                <w:sz w:val="24"/>
                <w:szCs w:val="24"/>
              </w:rPr>
            </w:pPr>
            <w:r w:rsidRPr="00F3646A">
              <w:rPr>
                <w:rFonts w:cstheme="minorHAnsi"/>
                <w:sz w:val="24"/>
                <w:szCs w:val="24"/>
              </w:rPr>
              <w:t xml:space="preserve">Author’s response </w:t>
            </w:r>
            <w:r w:rsidRPr="00F3646A">
              <w:rPr>
                <w:rFonts w:cstheme="minorHAnsi"/>
                <w:sz w:val="24"/>
                <w:szCs w:val="24"/>
              </w:rPr>
              <w:br/>
            </w:r>
            <w:r w:rsidRPr="00F3646A">
              <w:rPr>
                <w:rFonts w:cstheme="minorHAnsi"/>
                <w:i/>
                <w:iCs/>
                <w:sz w:val="24"/>
                <w:szCs w:val="24"/>
              </w:rPr>
              <w:t>(mention page/paragraph/sub-title)</w:t>
            </w:r>
          </w:p>
        </w:tc>
      </w:tr>
      <w:tr w:rsidR="004D3A87" w:rsidRPr="00F3646A" w14:paraId="3D3E0FCD" w14:textId="77777777" w:rsidTr="00400613">
        <w:tc>
          <w:tcPr>
            <w:tcW w:w="562" w:type="dxa"/>
          </w:tcPr>
          <w:p w14:paraId="6389A951" w14:textId="77777777" w:rsidR="004D3A87" w:rsidRPr="00F3646A" w:rsidRDefault="004D3A87" w:rsidP="00F3646A">
            <w:pPr>
              <w:spacing w:after="160" w:line="259" w:lineRule="auto"/>
              <w:jc w:val="center"/>
              <w:rPr>
                <w:rFonts w:cstheme="minorHAnsi"/>
                <w:sz w:val="24"/>
                <w:szCs w:val="24"/>
              </w:rPr>
            </w:pPr>
            <w:r w:rsidRPr="00F3646A">
              <w:rPr>
                <w:rFonts w:cstheme="minorHAnsi"/>
                <w:sz w:val="24"/>
                <w:szCs w:val="24"/>
              </w:rPr>
              <w:t>1</w:t>
            </w:r>
          </w:p>
        </w:tc>
        <w:tc>
          <w:tcPr>
            <w:tcW w:w="3828" w:type="dxa"/>
            <w:vMerge w:val="restart"/>
          </w:tcPr>
          <w:p w14:paraId="33316ACF" w14:textId="4F745AC7" w:rsidR="004D3A87" w:rsidRPr="00F3646A" w:rsidRDefault="004D3A87" w:rsidP="00F3646A">
            <w:pPr>
              <w:spacing w:after="160" w:line="259" w:lineRule="auto"/>
              <w:jc w:val="center"/>
              <w:rPr>
                <w:rFonts w:cstheme="minorHAnsi"/>
                <w:sz w:val="24"/>
                <w:szCs w:val="24"/>
              </w:rPr>
            </w:pPr>
            <w:r w:rsidRPr="00DD6C55">
              <w:rPr>
                <w:rFonts w:cstheme="minorHAnsi"/>
                <w:sz w:val="24"/>
                <w:szCs w:val="24"/>
              </w:rPr>
              <w:t xml:space="preserve">The results section provides a rich and coherent narrative of </w:t>
            </w:r>
            <w:proofErr w:type="spellStart"/>
            <w:r w:rsidRPr="00DD6C55">
              <w:rPr>
                <w:rFonts w:cstheme="minorHAnsi"/>
                <w:sz w:val="24"/>
                <w:szCs w:val="24"/>
              </w:rPr>
              <w:t>Laweyan’s</w:t>
            </w:r>
            <w:proofErr w:type="spellEnd"/>
            <w:r w:rsidRPr="00DD6C55">
              <w:rPr>
                <w:rFonts w:cstheme="minorHAnsi"/>
                <w:sz w:val="24"/>
                <w:szCs w:val="24"/>
              </w:rPr>
              <w:t xml:space="preserve"> spatial context, architectural characteristics, creative-tourism </w:t>
            </w:r>
            <w:r w:rsidRPr="00DD6C55">
              <w:rPr>
                <w:rFonts w:cstheme="minorHAnsi"/>
                <w:sz w:val="24"/>
                <w:szCs w:val="24"/>
              </w:rPr>
              <w:lastRenderedPageBreak/>
              <w:t xml:space="preserve">products, economic impact, challenges (declining traditional batik entrepreneurs, infrastructural constraints), and governance via FPKBL. The table on creative tourism and experiences is clear and effectively supports the claim of experiential tourism, while the figures (location map, experiential framework) help visualize spatial and experiential aspects; however, captions should be made more informative (e.g., highlight what is analytically important, not only “Location” or “Meaningful Experience”). The discussion is generally well connected to the literature and interprets </w:t>
            </w:r>
            <w:proofErr w:type="spellStart"/>
            <w:r w:rsidRPr="00DD6C55">
              <w:rPr>
                <w:rFonts w:cstheme="minorHAnsi"/>
                <w:sz w:val="24"/>
                <w:szCs w:val="24"/>
              </w:rPr>
              <w:t>Laweyan</w:t>
            </w:r>
            <w:proofErr w:type="spellEnd"/>
            <w:r w:rsidRPr="00DD6C55">
              <w:rPr>
                <w:rFonts w:cstheme="minorHAnsi"/>
                <w:sz w:val="24"/>
                <w:szCs w:val="24"/>
              </w:rPr>
              <w:t xml:space="preserve"> as a model of experiential and sustainable creative tourism, but the analytical structure can be improved by grouping subsections (e.g., “Architectural transformation”, “Experiential tourism and local economy”, “Governance and sustainability risks”) and more explicitly linking each theme back to the study objectives and theoretical concepts. Some paragraphs are quite long and argumentative; breaking them into shorter, thematically focused parts will enhance clarity and readability.</w:t>
            </w:r>
          </w:p>
        </w:tc>
        <w:tc>
          <w:tcPr>
            <w:tcW w:w="4626" w:type="dxa"/>
          </w:tcPr>
          <w:p w14:paraId="38B924BA" w14:textId="77777777" w:rsidR="004D3A87" w:rsidRDefault="004D3A87" w:rsidP="00F3646A">
            <w:pPr>
              <w:spacing w:after="160" w:line="259" w:lineRule="auto"/>
              <w:jc w:val="center"/>
              <w:rPr>
                <w:rFonts w:cstheme="minorHAnsi"/>
                <w:sz w:val="24"/>
                <w:szCs w:val="24"/>
              </w:rPr>
            </w:pPr>
            <w:r w:rsidRPr="00BE4369">
              <w:rPr>
                <w:rFonts w:cstheme="minorHAnsi"/>
                <w:sz w:val="24"/>
                <w:szCs w:val="24"/>
              </w:rPr>
              <w:lastRenderedPageBreak/>
              <w:t xml:space="preserve">The separate analytical subheadings have been removed to comply with the </w:t>
            </w:r>
            <w:proofErr w:type="spellStart"/>
            <w:r w:rsidRPr="00BE4369">
              <w:rPr>
                <w:rFonts w:cstheme="minorHAnsi"/>
                <w:sz w:val="24"/>
                <w:szCs w:val="24"/>
              </w:rPr>
              <w:t>Humaniora</w:t>
            </w:r>
            <w:proofErr w:type="spellEnd"/>
            <w:r w:rsidRPr="00BE4369">
              <w:rPr>
                <w:rFonts w:cstheme="minorHAnsi"/>
                <w:sz w:val="24"/>
                <w:szCs w:val="24"/>
              </w:rPr>
              <w:t xml:space="preserve"> journal template. Their analytical functions have been retained by integrating </w:t>
            </w:r>
            <w:r w:rsidRPr="00BE4369">
              <w:rPr>
                <w:rFonts w:cstheme="minorHAnsi"/>
                <w:sz w:val="24"/>
                <w:szCs w:val="24"/>
              </w:rPr>
              <w:lastRenderedPageBreak/>
              <w:t>each theme into the opening sentences of the corresponding paragraphs. The Results and Discussion therefore remain organized around architectural transformation, experiential tourism and the local economy, and community-based governance and sustainability risks without introducing additional subheadings.</w:t>
            </w:r>
          </w:p>
          <w:p w14:paraId="168BE6A2" w14:textId="642143CB" w:rsidR="00440D23" w:rsidRDefault="00440D23" w:rsidP="00F3646A">
            <w:pPr>
              <w:spacing w:after="160" w:line="259" w:lineRule="auto"/>
              <w:jc w:val="center"/>
              <w:rPr>
                <w:rFonts w:cstheme="minorHAnsi"/>
                <w:sz w:val="24"/>
                <w:szCs w:val="24"/>
              </w:rPr>
            </w:pPr>
            <w:r>
              <w:rPr>
                <w:rFonts w:cstheme="minorHAnsi"/>
                <w:sz w:val="24"/>
                <w:szCs w:val="24"/>
              </w:rPr>
              <w:t xml:space="preserve">Loc: </w:t>
            </w:r>
            <w:r w:rsidRPr="00440D23">
              <w:rPr>
                <w:rFonts w:cstheme="minorHAnsi"/>
                <w:sz w:val="24"/>
                <w:szCs w:val="24"/>
              </w:rPr>
              <w:t>Pages</w:t>
            </w:r>
            <w:r>
              <w:rPr>
                <w:rFonts w:cstheme="minorHAnsi"/>
                <w:sz w:val="24"/>
                <w:szCs w:val="24"/>
              </w:rPr>
              <w:t xml:space="preserve"> </w:t>
            </w:r>
            <w:r w:rsidRPr="00440D23">
              <w:rPr>
                <w:rFonts w:cstheme="minorHAnsi"/>
                <w:sz w:val="24"/>
                <w:szCs w:val="24"/>
              </w:rPr>
              <w:t>Results and Discussion, analytical framing of architectural transformation, experiential tourism and local economy, and community-based governance and sustainability risks.</w:t>
            </w:r>
          </w:p>
          <w:p w14:paraId="09DB4DA3" w14:textId="396FD540" w:rsidR="00440D23" w:rsidRPr="00F3646A" w:rsidRDefault="00440D23" w:rsidP="00F3646A">
            <w:pPr>
              <w:spacing w:after="160" w:line="259" w:lineRule="auto"/>
              <w:jc w:val="center"/>
              <w:rPr>
                <w:rFonts w:cstheme="minorHAnsi"/>
                <w:sz w:val="24"/>
                <w:szCs w:val="24"/>
              </w:rPr>
            </w:pPr>
          </w:p>
        </w:tc>
      </w:tr>
      <w:tr w:rsidR="004D3A87" w:rsidRPr="00F3646A" w14:paraId="25EF81EB" w14:textId="77777777" w:rsidTr="00400613">
        <w:tc>
          <w:tcPr>
            <w:tcW w:w="562" w:type="dxa"/>
          </w:tcPr>
          <w:p w14:paraId="04B9F692" w14:textId="77777777" w:rsidR="004D3A87" w:rsidRPr="00F3646A" w:rsidRDefault="004D3A87" w:rsidP="00F3646A">
            <w:pPr>
              <w:jc w:val="center"/>
              <w:rPr>
                <w:rFonts w:cstheme="minorHAnsi"/>
                <w:sz w:val="24"/>
                <w:szCs w:val="24"/>
              </w:rPr>
            </w:pPr>
          </w:p>
        </w:tc>
        <w:tc>
          <w:tcPr>
            <w:tcW w:w="3828" w:type="dxa"/>
            <w:vMerge/>
          </w:tcPr>
          <w:p w14:paraId="6D34F882" w14:textId="77777777" w:rsidR="004D3A87" w:rsidRPr="00DD6C55" w:rsidRDefault="004D3A87" w:rsidP="00F3646A">
            <w:pPr>
              <w:jc w:val="center"/>
              <w:rPr>
                <w:rFonts w:cstheme="minorHAnsi"/>
                <w:sz w:val="24"/>
                <w:szCs w:val="24"/>
              </w:rPr>
            </w:pPr>
          </w:p>
        </w:tc>
        <w:tc>
          <w:tcPr>
            <w:tcW w:w="4626" w:type="dxa"/>
          </w:tcPr>
          <w:p w14:paraId="3B046D09" w14:textId="77777777" w:rsidR="004D3A87" w:rsidRDefault="004D3A87" w:rsidP="00F3646A">
            <w:pPr>
              <w:jc w:val="center"/>
              <w:rPr>
                <w:rFonts w:cstheme="minorHAnsi"/>
                <w:sz w:val="24"/>
                <w:szCs w:val="24"/>
              </w:rPr>
            </w:pPr>
            <w:r w:rsidRPr="00BE4369">
              <w:rPr>
                <w:rFonts w:cstheme="minorHAnsi"/>
                <w:sz w:val="24"/>
                <w:szCs w:val="24"/>
              </w:rPr>
              <w:t>Following Reviewer 2’s suggestion, the caption of Figure 2 has been reformulated to clarify its analytical significance. The revised caption explicitly identifies the figure as illustrating experiential tourism through visitor engagement with batik-making practices, heritage spaces, and community-based cultural learning. The accompanying sentence has also been revised to strengthen the connection between the figure and the analytical discussion.</w:t>
            </w:r>
          </w:p>
          <w:p w14:paraId="7AA6C9DB" w14:textId="77777777" w:rsidR="00440D23" w:rsidRDefault="00440D23" w:rsidP="00F3646A">
            <w:pPr>
              <w:jc w:val="center"/>
              <w:rPr>
                <w:rFonts w:cstheme="minorHAnsi"/>
                <w:sz w:val="24"/>
                <w:szCs w:val="24"/>
              </w:rPr>
            </w:pPr>
          </w:p>
          <w:p w14:paraId="242E7948" w14:textId="2FE05CF2" w:rsidR="00440D23" w:rsidRPr="00BE4369" w:rsidRDefault="00440D23" w:rsidP="00F3646A">
            <w:pPr>
              <w:jc w:val="center"/>
              <w:rPr>
                <w:rFonts w:cstheme="minorHAnsi"/>
                <w:sz w:val="24"/>
                <w:szCs w:val="24"/>
              </w:rPr>
            </w:pPr>
            <w:r>
              <w:rPr>
                <w:rFonts w:cstheme="minorHAnsi"/>
                <w:sz w:val="24"/>
                <w:szCs w:val="24"/>
              </w:rPr>
              <w:t xml:space="preserve">Loc: </w:t>
            </w:r>
            <w:r w:rsidRPr="00440D23">
              <w:rPr>
                <w:rFonts w:cstheme="minorHAnsi"/>
                <w:sz w:val="24"/>
                <w:szCs w:val="24"/>
              </w:rPr>
              <w:t>Pages 5–6, Results and Discussion, paragraph preceding Figure 2 and the revised Figure 2 caption.</w:t>
            </w:r>
          </w:p>
        </w:tc>
      </w:tr>
      <w:tr w:rsidR="004D3A87" w:rsidRPr="00F3646A" w14:paraId="580E727E" w14:textId="77777777" w:rsidTr="00400613">
        <w:tc>
          <w:tcPr>
            <w:tcW w:w="562" w:type="dxa"/>
          </w:tcPr>
          <w:p w14:paraId="10F0FE0C" w14:textId="77777777" w:rsidR="004D3A87" w:rsidRPr="00F3646A" w:rsidRDefault="004D3A87" w:rsidP="00F3646A">
            <w:pPr>
              <w:spacing w:after="160" w:line="259" w:lineRule="auto"/>
              <w:jc w:val="center"/>
              <w:rPr>
                <w:rFonts w:cstheme="minorHAnsi"/>
                <w:sz w:val="24"/>
                <w:szCs w:val="24"/>
              </w:rPr>
            </w:pPr>
            <w:r w:rsidRPr="00F3646A">
              <w:rPr>
                <w:rFonts w:cstheme="minorHAnsi"/>
                <w:sz w:val="24"/>
                <w:szCs w:val="24"/>
              </w:rPr>
              <w:t>2</w:t>
            </w:r>
          </w:p>
        </w:tc>
        <w:tc>
          <w:tcPr>
            <w:tcW w:w="3828" w:type="dxa"/>
            <w:vMerge w:val="restart"/>
          </w:tcPr>
          <w:p w14:paraId="084ECC48" w14:textId="213197B7" w:rsidR="004D3A87" w:rsidRPr="00F3646A" w:rsidRDefault="004D3A87" w:rsidP="00091AA4">
            <w:pPr>
              <w:spacing w:after="160" w:line="259" w:lineRule="auto"/>
              <w:jc w:val="center"/>
              <w:rPr>
                <w:rFonts w:cstheme="minorHAnsi"/>
                <w:sz w:val="24"/>
                <w:szCs w:val="24"/>
              </w:rPr>
            </w:pPr>
            <w:r w:rsidRPr="004D3A87">
              <w:rPr>
                <w:rFonts w:cstheme="minorHAnsi"/>
                <w:sz w:val="24"/>
                <w:szCs w:val="24"/>
              </w:rPr>
              <w:t xml:space="preserve">The reference list is extensive, up to date, and highly relevant, including national and international works on sustainable tourism, community-based tourism, architecture, and </w:t>
            </w:r>
            <w:proofErr w:type="spellStart"/>
            <w:r w:rsidRPr="004D3A87">
              <w:rPr>
                <w:rFonts w:cstheme="minorHAnsi"/>
                <w:sz w:val="24"/>
                <w:szCs w:val="24"/>
              </w:rPr>
              <w:t>Laweyan</w:t>
            </w:r>
            <w:proofErr w:type="spellEnd"/>
            <w:r w:rsidRPr="004D3A87">
              <w:rPr>
                <w:rFonts w:cstheme="minorHAnsi"/>
                <w:sz w:val="24"/>
                <w:szCs w:val="24"/>
              </w:rPr>
              <w:t xml:space="preserve"> itself. There are some minor typographical issues (double commas, capitalization inconsistencies, journal name </w:t>
            </w:r>
            <w:r w:rsidRPr="004D3A87">
              <w:rPr>
                <w:rFonts w:cstheme="minorHAnsi"/>
                <w:sz w:val="24"/>
                <w:szCs w:val="24"/>
              </w:rPr>
              <w:lastRenderedPageBreak/>
              <w:t xml:space="preserve">abbreviations) and minor spacing/formatting that should be harmonized to </w:t>
            </w:r>
            <w:proofErr w:type="spellStart"/>
            <w:r w:rsidRPr="004D3A87">
              <w:rPr>
                <w:rFonts w:cstheme="minorHAnsi"/>
                <w:sz w:val="24"/>
                <w:szCs w:val="24"/>
              </w:rPr>
              <w:t>Humaniora’s</w:t>
            </w:r>
            <w:proofErr w:type="spellEnd"/>
            <w:r w:rsidRPr="004D3A87">
              <w:rPr>
                <w:rFonts w:cstheme="minorHAnsi"/>
                <w:sz w:val="24"/>
                <w:szCs w:val="24"/>
              </w:rPr>
              <w:t xml:space="preserve"> reference style (APA, etc.). It would be beneficial to check that all cited works in text appear in the list and vice versa, and that each DOI/URL is presented consistently and without technical markup artifacts from the word processor.</w:t>
            </w:r>
          </w:p>
        </w:tc>
        <w:tc>
          <w:tcPr>
            <w:tcW w:w="4626" w:type="dxa"/>
          </w:tcPr>
          <w:p w14:paraId="03CB4667" w14:textId="77777777" w:rsidR="004D3A87" w:rsidRDefault="004D3A87" w:rsidP="00F3646A">
            <w:pPr>
              <w:spacing w:after="160" w:line="259" w:lineRule="auto"/>
              <w:jc w:val="center"/>
              <w:rPr>
                <w:rFonts w:cstheme="minorHAnsi"/>
                <w:sz w:val="24"/>
                <w:szCs w:val="24"/>
              </w:rPr>
            </w:pPr>
            <w:r w:rsidRPr="001C58AC">
              <w:rPr>
                <w:rFonts w:cstheme="minorHAnsi"/>
                <w:sz w:val="24"/>
                <w:szCs w:val="24"/>
              </w:rPr>
              <w:lastRenderedPageBreak/>
              <w:t>The in-text citations and reference list have been systematically reviewed and standardized. Punctuation inconsistencies and duplicate citations have been corrected, author-name connectors have been harmonized by consistently using the ampersand, typographical artifacts have been removed, and citation</w:t>
            </w:r>
            <w:r>
              <w:rPr>
                <w:rFonts w:cstheme="minorHAnsi"/>
                <w:sz w:val="24"/>
                <w:szCs w:val="24"/>
              </w:rPr>
              <w:t xml:space="preserve"> </w:t>
            </w:r>
            <w:r w:rsidRPr="001C58AC">
              <w:rPr>
                <w:rFonts w:cstheme="minorHAnsi"/>
                <w:sz w:val="24"/>
                <w:szCs w:val="24"/>
              </w:rPr>
              <w:t>reference correspondence has been cross-checked.</w:t>
            </w:r>
          </w:p>
          <w:p w14:paraId="686DD65A" w14:textId="77777777" w:rsidR="00440D23" w:rsidRDefault="00440D23" w:rsidP="00F3646A">
            <w:pPr>
              <w:spacing w:after="160" w:line="259" w:lineRule="auto"/>
              <w:jc w:val="center"/>
              <w:rPr>
                <w:rFonts w:cstheme="minorHAnsi"/>
                <w:sz w:val="24"/>
                <w:szCs w:val="24"/>
              </w:rPr>
            </w:pPr>
          </w:p>
          <w:p w14:paraId="51FFA94B" w14:textId="130DB499" w:rsidR="00440D23" w:rsidRPr="00F3646A" w:rsidRDefault="00440D23" w:rsidP="00F3646A">
            <w:pPr>
              <w:spacing w:after="160" w:line="259" w:lineRule="auto"/>
              <w:jc w:val="center"/>
              <w:rPr>
                <w:rFonts w:cstheme="minorHAnsi"/>
                <w:sz w:val="24"/>
                <w:szCs w:val="24"/>
              </w:rPr>
            </w:pPr>
            <w:r w:rsidRPr="00440D23">
              <w:rPr>
                <w:rFonts w:cstheme="minorHAnsi"/>
                <w:sz w:val="24"/>
                <w:szCs w:val="24"/>
              </w:rPr>
              <w:t>Page 2 (in-text citation corrections) and Pages 8–10 (References).</w:t>
            </w:r>
          </w:p>
        </w:tc>
      </w:tr>
      <w:tr w:rsidR="004D3A87" w:rsidRPr="00F3646A" w14:paraId="2568C76E" w14:textId="77777777" w:rsidTr="00400613">
        <w:tc>
          <w:tcPr>
            <w:tcW w:w="562" w:type="dxa"/>
          </w:tcPr>
          <w:p w14:paraId="3D4B3A38" w14:textId="072A487A" w:rsidR="004D3A87" w:rsidRPr="00F3646A" w:rsidRDefault="004D3A87" w:rsidP="00F3646A">
            <w:pPr>
              <w:spacing w:after="160" w:line="259" w:lineRule="auto"/>
              <w:jc w:val="center"/>
              <w:rPr>
                <w:rFonts w:cstheme="minorHAnsi"/>
                <w:sz w:val="24"/>
                <w:szCs w:val="24"/>
              </w:rPr>
            </w:pPr>
            <w:r>
              <w:rPr>
                <w:rFonts w:cstheme="minorHAnsi"/>
                <w:sz w:val="24"/>
                <w:szCs w:val="24"/>
              </w:rPr>
              <w:lastRenderedPageBreak/>
              <w:t>3</w:t>
            </w:r>
          </w:p>
        </w:tc>
        <w:tc>
          <w:tcPr>
            <w:tcW w:w="3828" w:type="dxa"/>
            <w:vMerge/>
          </w:tcPr>
          <w:p w14:paraId="0A054625" w14:textId="3FD6741F" w:rsidR="004D3A87" w:rsidRPr="00F3646A" w:rsidRDefault="004D3A87" w:rsidP="00F3646A">
            <w:pPr>
              <w:spacing w:after="160" w:line="259" w:lineRule="auto"/>
              <w:jc w:val="center"/>
              <w:rPr>
                <w:rFonts w:cstheme="minorHAnsi"/>
                <w:sz w:val="24"/>
                <w:szCs w:val="24"/>
              </w:rPr>
            </w:pPr>
          </w:p>
        </w:tc>
        <w:tc>
          <w:tcPr>
            <w:tcW w:w="4626" w:type="dxa"/>
          </w:tcPr>
          <w:p w14:paraId="25F8FC10" w14:textId="77777777" w:rsidR="004D3A87" w:rsidRDefault="004D3A87" w:rsidP="00F3646A">
            <w:pPr>
              <w:spacing w:after="160" w:line="259" w:lineRule="auto"/>
              <w:jc w:val="center"/>
              <w:rPr>
                <w:rFonts w:cstheme="minorHAnsi"/>
                <w:sz w:val="24"/>
                <w:szCs w:val="24"/>
              </w:rPr>
            </w:pPr>
            <w:r w:rsidRPr="001C58AC">
              <w:rPr>
                <w:rFonts w:cstheme="minorHAnsi"/>
                <w:sz w:val="24"/>
                <w:szCs w:val="24"/>
              </w:rPr>
              <w:t>Following Reviewer 1’s suggestion, the Conclusion has been substantially expanded to explicitly distinguish the academic contribution from the practical and policy implications of the study. The academic implication now explains how architectural heritage adaptation functions as an experiential-tourism mechanism mediated by community-based governance, connecting adaptive reuse, cultural learning, community participation, and socio-economic resilience. The practical and policy implications now emphasize context-sensitive adaptive reuse, stronger community institutions, visitor accessibility and mobility management, carrying-capacity considerations, and the regeneration of traditional batik artisans. The study limitations and directions for comparative and mixed-method future research have also been retained and clarified.</w:t>
            </w:r>
          </w:p>
          <w:p w14:paraId="5623FEEA" w14:textId="77777777" w:rsidR="00440D23" w:rsidRDefault="00440D23" w:rsidP="00F3646A">
            <w:pPr>
              <w:spacing w:after="160" w:line="259" w:lineRule="auto"/>
              <w:jc w:val="center"/>
              <w:rPr>
                <w:rFonts w:cstheme="minorHAnsi"/>
                <w:sz w:val="24"/>
                <w:szCs w:val="24"/>
              </w:rPr>
            </w:pPr>
          </w:p>
          <w:p w14:paraId="0760BE14" w14:textId="206179F3" w:rsidR="00440D23" w:rsidRPr="00F3646A" w:rsidRDefault="00440D23" w:rsidP="00F3646A">
            <w:pPr>
              <w:spacing w:after="160" w:line="259" w:lineRule="auto"/>
              <w:jc w:val="center"/>
              <w:rPr>
                <w:rFonts w:cstheme="minorHAnsi"/>
                <w:sz w:val="24"/>
                <w:szCs w:val="24"/>
              </w:rPr>
            </w:pPr>
            <w:r>
              <w:rPr>
                <w:rFonts w:cstheme="minorHAnsi"/>
                <w:sz w:val="24"/>
                <w:szCs w:val="24"/>
              </w:rPr>
              <w:t xml:space="preserve">Loc: </w:t>
            </w:r>
            <w:r>
              <w:t xml:space="preserve"> </w:t>
            </w:r>
            <w:r w:rsidRPr="00440D23">
              <w:rPr>
                <w:rFonts w:cstheme="minorHAnsi"/>
                <w:sz w:val="24"/>
                <w:szCs w:val="24"/>
              </w:rPr>
              <w:t>Pages 7–8, Conclusion.</w:t>
            </w:r>
          </w:p>
        </w:tc>
      </w:tr>
    </w:tbl>
    <w:p w14:paraId="62820860" w14:textId="77777777" w:rsidR="00F3646A" w:rsidRPr="001A5AD1" w:rsidRDefault="00F3646A" w:rsidP="001A5AD1">
      <w:pPr>
        <w:jc w:val="center"/>
        <w:rPr>
          <w:rFonts w:cstheme="minorHAnsi"/>
          <w:sz w:val="24"/>
          <w:szCs w:val="24"/>
        </w:rPr>
      </w:pPr>
    </w:p>
    <w:sectPr w:rsidR="00F3646A" w:rsidRPr="001A5A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AD1"/>
    <w:rsid w:val="000C3037"/>
    <w:rsid w:val="000F2CE4"/>
    <w:rsid w:val="00154CE1"/>
    <w:rsid w:val="001A5AD1"/>
    <w:rsid w:val="001C58AC"/>
    <w:rsid w:val="00214AA0"/>
    <w:rsid w:val="00304C10"/>
    <w:rsid w:val="003948A3"/>
    <w:rsid w:val="00440D23"/>
    <w:rsid w:val="004851AB"/>
    <w:rsid w:val="004D2644"/>
    <w:rsid w:val="004D3A87"/>
    <w:rsid w:val="00536923"/>
    <w:rsid w:val="00555641"/>
    <w:rsid w:val="005A6AE3"/>
    <w:rsid w:val="0061450E"/>
    <w:rsid w:val="00721ED1"/>
    <w:rsid w:val="007634A9"/>
    <w:rsid w:val="007D33FE"/>
    <w:rsid w:val="007E0773"/>
    <w:rsid w:val="009B499C"/>
    <w:rsid w:val="00A16431"/>
    <w:rsid w:val="00B8620C"/>
    <w:rsid w:val="00BE4369"/>
    <w:rsid w:val="00D11902"/>
    <w:rsid w:val="00DD6C55"/>
    <w:rsid w:val="00E94132"/>
    <w:rsid w:val="00F3646A"/>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CD2BE"/>
  <w15:chartTrackingRefBased/>
  <w15:docId w15:val="{C312EFBF-2FFD-4A14-9395-ABFA83F49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A5A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customXml" Target="../customXml/item4.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0AD393D656B449911E219C73C60B4B" ma:contentTypeVersion="17" ma:contentTypeDescription="Create a new document." ma:contentTypeScope="" ma:versionID="b5260b02af490a6a9c1a397283e54b1b">
  <xsd:schema xmlns:xsd="http://www.w3.org/2001/XMLSchema" xmlns:xs="http://www.w3.org/2001/XMLSchema" xmlns:p="http://schemas.microsoft.com/office/2006/metadata/properties" xmlns:ns2="4f7c0e6e-363d-4e0f-94d2-59f3cd7d6f7e" xmlns:ns3="6ac08084-c78b-4dd5-88a8-6338b0b2e44d" targetNamespace="http://schemas.microsoft.com/office/2006/metadata/properties" ma:root="true" ma:fieldsID="1d4ee0662869bdf934856f3975230679" ns2:_="" ns3:_="">
    <xsd:import namespace="4f7c0e6e-363d-4e0f-94d2-59f3cd7d6f7e"/>
    <xsd:import namespace="6ac08084-c78b-4dd5-88a8-6338b0b2e44d"/>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7c0e6e-363d-4e0f-94d2-59f3cd7d6f7e"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ec28ae5b-a205-46d3-a678-0449abc50176}" ma:internalName="TaxCatchAll" ma:showField="CatchAllData" ma:web="4f7c0e6e-363d-4e0f-94d2-59f3cd7d6f7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ac08084-c78b-4dd5-88a8-6338b0b2e44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12802744-7fd5-42e0-b4ac-2f85b671ef9f"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internalName="MediaServiceLocation"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4f7c0e6e-363d-4e0f-94d2-59f3cd7d6f7e" xsi:nil="true"/>
    <lcf76f155ced4ddcb4097134ff3c332f xmlns="6ac08084-c78b-4dd5-88a8-6338b0b2e44d">
      <Terms xmlns="http://schemas.microsoft.com/office/infopath/2007/PartnerControls"/>
    </lcf76f155ced4ddcb4097134ff3c332f>
    <_dlc_DocId xmlns="4f7c0e6e-363d-4e0f-94d2-59f3cd7d6f7e">UXX7SHDDVSEZ-384264362-165645</_dlc_DocId>
    <_dlc_DocIdUrl xmlns="4f7c0e6e-363d-4e0f-94d2-59f3cd7d6f7e">
      <Url>https://binusianorg.sharepoint.com/sites/BinusJurnal/_layouts/15/DocIdRedir.aspx?ID=UXX7SHDDVSEZ-384264362-165645</Url>
      <Description>UXX7SHDDVSEZ-384264362-165645</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5FD623BB-8B0B-4F52-AF1F-B985AC056A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7c0e6e-363d-4e0f-94d2-59f3cd7d6f7e"/>
    <ds:schemaRef ds:uri="6ac08084-c78b-4dd5-88a8-6338b0b2e4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6254C91-7BE3-482F-BEC7-7AF9679A470E}">
  <ds:schemaRefs>
    <ds:schemaRef ds:uri="http://schemas.microsoft.com/office/2006/metadata/properties"/>
    <ds:schemaRef ds:uri="http://schemas.microsoft.com/office/infopath/2007/PartnerControls"/>
    <ds:schemaRef ds:uri="4f7c0e6e-363d-4e0f-94d2-59f3cd7d6f7e"/>
    <ds:schemaRef ds:uri="6ac08084-c78b-4dd5-88a8-6338b0b2e44d"/>
  </ds:schemaRefs>
</ds:datastoreItem>
</file>

<file path=customXml/itemProps3.xml><?xml version="1.0" encoding="utf-8"?>
<ds:datastoreItem xmlns:ds="http://schemas.openxmlformats.org/officeDocument/2006/customXml" ds:itemID="{061A859B-9C77-463B-9282-6BE30BA4CDE4}">
  <ds:schemaRefs>
    <ds:schemaRef ds:uri="http://schemas.microsoft.com/sharepoint/v3/contenttype/forms"/>
  </ds:schemaRefs>
</ds:datastoreItem>
</file>

<file path=customXml/itemProps4.xml><?xml version="1.0" encoding="utf-8"?>
<ds:datastoreItem xmlns:ds="http://schemas.openxmlformats.org/officeDocument/2006/customXml" ds:itemID="{75AEE3B5-A1BB-49EF-84CB-D4B064FB39F8}">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1364</Words>
  <Characters>7779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Shavira Sarashita</dc:creator>
  <cp:keywords/>
  <dc:description/>
  <cp:lastModifiedBy>Iqbal Fathi Izzudin</cp:lastModifiedBy>
  <cp:revision>2</cp:revision>
  <dcterms:created xsi:type="dcterms:W3CDTF">2026-08-31T02:22:00Z</dcterms:created>
  <dcterms:modified xsi:type="dcterms:W3CDTF">2026-08-31T02:22:00Z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0x0101005F0AD393D656B449911E219C73C60B4B</vt:lpwstr>
  </property>
  <property fmtid="{D5CDD505-2E9C-101B-9397-08002B2CF9AE}" pid="3" name="_dlc_DocIdItemGuid">
    <vt:lpwstr>d78b5bac-05e8-4729-8c1e-025abdc5001a</vt:lpwstr>
  </property>
  <property fmtid="{D5CDD505-2E9C-101B-9397-08002B2CF9AE}" pid="4" name="MediaServiceImageTags">
    <vt:lpwstr/>
  </property>
</Properties>
</file>