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全历史弱且波动高，2025后改善明显，按观察处理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全历史弱，2025后改善明显，按观察处理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2025后明显改善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已移入观察名单。它们 2025 后平均回报 0.536%/0.526%、命中率 67.9%/60.5%，明显改善，但全历史平均回报与显著性仍偏弱，UDPSX 同时波动偏高，因此不直接删除，继续观察。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UKPIX、UTPSX 两条训练弱策略；全历史弱但 2025 后明显的 8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2.3 同基金/同主题解释一致性检查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“基金”维度检查：没有同一基金在相同市场状态（风险偏好收缩/回暖）下同时出现“价格倾向上涨”和“价格倾向承压”的矛盾解释。按“主题”维度存在方向相反的结论，但原因是主题内同时包含多头与反向基金，例如中国主题既有 Ultra China 多头、也有 Ultra Short China 反向，风险偏好收缩时多头承压、反向产品上涨，属于产品属性，不是解释矛盾。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示例（银行金融类）：BKPIX/BKPSX 的两条解释分别是“风险偏好收缩时价格倾向承压”和“风险偏好回暖时价格倾向上涨”，属于不同市场状态下的互补结论，不构成矛盾。检查明细见 v4_explanation_conflict_check.csv。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使用同一份策略级阈值扫描结果。为什么只有 33 组：严格来说 &gt;0/&lt;0 里的 0 也是阈值，可以调整。当前扫描只枚举了显式非零阈值条件（big/gt/lt/self_big/self_3/self_5），因此 231 条策略中 32 条进入扫描（31 条数值阈值 + 1 条连跌天数，其中 CYPIX 有两个可调条件），共 33 组；其余 &gt;0/&lt;0 条件如需调整 0 阈值，可另行扩展扫描。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1041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606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240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560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63.0%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结论：负向和正向都在 -2%/+2% 附近达到平均回报中位数峰值，更深阈值不再单调上升；+2.5%/+3% 策略数很少，中位数参考意义有限。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33 组策略级阈值扫描中，负向策略平均回报中位数相关系数为 +0.73、命中率中位数为 +0.82；正向策略分别为 +0.90、+0.79。共 8 组异常策略（同一策略调整不同条件计为不同组）：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异常指标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SLV&gt;=1% 且 该基金当日回报&lt;0，买基金后2日平均回报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XLK&lt;=-1%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-0.11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XLK&lt;=-1%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自身大跌阈值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-0.14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-0.79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XLC&gt;=1% 且 美元/黄金&lt;0，买基金后2日平均回报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逐策略展开如下（8 组 &lt; 10，故保留在文档内；多条件策略只调整被扫描条件，其余条件固定）：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BIPIX：SLV&gt;=1% 且 该基金当日回报&lt;0，买基金后2日平均回报（只调整 SLV 阈值，自身下跌固定）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451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CYPIX（调整 XLK）：XLK&lt;=-1% 且 该基金当日回报&lt;=-2%，买基金第二天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0.455%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0.641%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-0.388%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CYPIX（调整自身大跌）：XLK&lt;=-1% 且 该基金当日回报&lt;=-2%，买基金第二天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0.197%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361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-0.005%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UBPIX：QQQ&lt;=-1%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882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-0.422%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-1.864%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UBPSX：QQQ&lt;=-1%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0.253%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-0.430%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-1.843%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UDPSX：QQQ&lt;=-1%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0.192%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-0.057%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-0.274%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UIPIX：XLC&gt;=1% 且 美元/黄金&lt;0，买基金后2日平均回报（只调整 XLC 阈值，美元/黄金&lt;0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126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ULPIX：QQQ&lt;=-1%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改进措施：这 8 组异常策略不做“更深阈值”外推，当前 -1% 阈值反而更优；其余策略保持 -2% 固定阈值即可。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