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 w:eastAsia="SimHei"/>
          <w:b/>
          <w:color w:val="000000"/>
          <w:sz w:val="32"/>
        </w:rPr>
        <w:t>ProFunds 策略稳健性与改善评估报告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日期：2026-08-18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口径：m30_v2 正式版，103 支非货币基金、231 条策略；mapping 与 Excel、全部分析使用同一份当前 8/4 数据，mapping 与重算差异为 0。条件表述与正式 Excel 说明一致。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000000"/>
          <w:sz w:val="28"/>
        </w:rPr>
        <w:t>一、样本外有效性概览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固定切分将历史数据分为建模段（train）与回测段（test）。建模段为 2005-06-15 ~ 2024-12-31；回测段为 2025-01-01 ~ 2026-08-04。严格重选指只用建模段数据重新选择策略，再用未参与建模的回测段数据回测，避免选策略时看过回测成绩。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1.1 现役 m30_v2 固定切分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36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07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54.01%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57.28%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60.64%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67.13%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61.59%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66.53%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75.51%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0.139%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0.424%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0.566%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0.773%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1.177%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3.31%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5.21%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3.83%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51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121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1391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2251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33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38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95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175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235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结论：103/103 支基金回测段命中率 &gt;=55%、平均回报 &gt;=0.2%，没有基金在回测段掉出合格线，平均回报与命中率均高于建模段，未见样本外衰减。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1.2 严格重选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36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07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54.71%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61.85%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67.13%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44.00%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55.16%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60.47%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65.97%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75.61%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0.185%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0.431%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2.128%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-0.207%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0.653%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1.031%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3.61%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10.00%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4.68%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103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1352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2419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30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36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76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151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206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结论：严格重选后仍有 99/103 支命中率 &gt;=50%、93/103 支 &gt;=55%，策略效果不是只靠看过回测段才成立。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1.3 训练效果异常与改进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需要从候选池补强或替换（同时展示全历史与 2025 后）：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全历史平均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全历史命中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2025后平均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2025后命中</w:t>
            </w:r>
          </w:p>
        </w:tc>
        <w:tc>
          <w:tcPr>
            <w:tcW w:type="dxa" w:w="124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问题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UKPIX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XLC&lt;0 且 信用利差&gt;0，买基金后2日平均回报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55.2%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0.286%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训练效果偏弱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UTPSX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GLD&gt;0 且 JNK&lt;0 且 XLU&lt;0，买基金第二天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55.9%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训练效果偏弱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全历史偏弱但 2025 后明显改善，暂不删除、继续观察：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全历史平均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全历史命中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2025后平均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2025后命中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备注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UDPSX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QQQ&lt;=-1% 且 VIX5d&gt;0，买基金第二天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0.536%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全历史弱且波动高，2025后改善明显，按观察处理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UIPSX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FXY&lt;0 且 GLD&gt;0 且 XLC&gt;0，买基金后2日平均回报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全历史弱，2025后改善明显，按观察处理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CYPSX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SLV&gt;0 且 XLF&lt;0，买基金第二天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0.218%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0.483%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IDPSX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SPY&lt;0 且 美元/黄金&lt;=-1.0%，买基金第二天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OEPIX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XLU&lt;=-1% 且 VIX收盘&gt;0，买基金后3日平均回报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0.610%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65.4%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SGPIX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GDX&gt;0 且 XLC&lt;0 且 XLK&lt;0，买基金第二天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0.211%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SVPIX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SLV&gt;0 且 SPY&lt;0 且 TIP&gt;0，买基金第二天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0.596%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UKPIX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LQD&lt;0 且 TIP&lt;0 且 XLC&lt;0，买基金后2日平均回报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64.3%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说明：UDPSX、UIPSX 已移入观察名单。它们 2025 后平均回报 0.536%/0.526%、命中率 67.9%/60.5%，明显改善，但全历史平均回报与显著性仍偏弱，UDPSX 同时波动偏高，因此不直接删除，继续观察。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改进措施：优先用候选池中更显著的信号替换 UKPIX、UTPSX 两条训练弱策略；全历史弱但 2025 后明显的 8 条继续观察，不为了凑覆盖硬塞低质量信号。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000000"/>
          <w:sz w:val="28"/>
        </w:rPr>
        <w:t>二、策略解释概览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231 条策略已逐条给出经济解释，输出列包括“触发条件”“条件解释”与“机制”，不含条件代码和历史统计；全部明细见 v4_strategy_explanation_v3.csv。机制列按“条件说明了什么 → 带来的市场影响 → 基金产品特征 → 为什么该基金上涨/下跌”四段式书写。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2.1 反向基金方向冲突（需改善）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反向基金应在标的下跌时上涨，但以下策略在“标的上涨/风险偏好回暖”条件下买入反向基金，等于赌风险偏好次日立即反转，经济逻辑弱：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type="dxa" w:w="187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问题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JNK&gt;0 且 SPY&gt;0，买基金第二天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0.312%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GLD&gt;0 且 SLV&gt;0，买基金后2日平均回报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0.346%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反向基金使用风险偏好+贵金属条件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SNPIX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QQQ&gt;0 且 XLC&gt;0 且 XLV&gt;0，买基金第二天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0.371%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57.0%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SNPSX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SPY&gt;0 且 XLC&gt;0 且 XLK&gt;0，买基金第二天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UCPIX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JNK&gt;0 且 LQD&lt;0 且 XLC&gt;0，买基金第二天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反向基金信用信号混乱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UHPIX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HYG&gt;0 且 SLV&gt;0 且 XLC&gt;0，买基金第二天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0.428%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反向基金使用风险偏好+贵金属条件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UHPSX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FXY&lt;0 且 IWM&gt;0 且 XLE&lt;0，买基金第二天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0.564%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反向基金条件方向不明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UKPSX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QQQ&gt;0 且 SPY&gt;0 且 TIP&lt;0，买基金第二天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0.390%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58.6%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USPIX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SLV&gt;0 且 XLV&gt;0，买基金第二天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0.497%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56.6%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USPSX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GLD&gt;0 且 HYG&gt;0，买基金第二天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0.487%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55.4%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反向基金使用风险偏好+避险条件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UVPIX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UUP&gt;0 且 XLF&lt;0，买基金第二天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0.300%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反向基金使用新兴市场上涨条件</w:t>
            </w:r>
          </w:p>
        </w:tc>
      </w:tr>
    </w:tbl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2.2 比特币基金解释受限（情有可原）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60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type="dxa" w:w="96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type="dxa" w:w="187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原因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XLC&gt;0 且 该基金当日回报&lt;0，买基金第二天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QQQ&lt;0 且 XLK&lt;0 且 XLV&lt;0，买基金第二天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0.687%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信用利差&lt;0，买基金后2日平均回报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0.414%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IWM&lt;0 且 SPY&lt;0，买基金后2日平均回报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0.461%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56.6%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改进措施：反向基金优先替换为方向一致的条件，例如做空新兴市场用 EEM&lt;0、做空科技用 QQQ&lt;0 或 XLK&lt;0；若保留，须明确标注为均值回归逻辑并做样本外验证。比特币基金暂不处理，未来加入加密参考资产后优先重做。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2.3 同基金/同主题解释一致性检查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按“基金”维度检查：没有同一基金在相同市场状态（风险偏好收缩/回暖）下同时出现“价格倾向上涨”和“价格倾向承压”的矛盾解释。按“主题”维度存在方向相反的结论，但原因是主题内同时包含多头与反向基金，例如中国主题既有 Ultra China 多头、也有 Ultra Short China 反向，风险偏好收缩时多头承压、反向产品上涨，属于产品属性，不是解释矛盾。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示例（银行金融类）：BKPIX/BKPSX 的两条解释分别是“风险偏好收缩时价格倾向承压”和“风险偏好回暖时价格倾向上涨”，属于不同市场状态下的互补结论，不构成矛盾。检查明细见 v4_explanation_conflict_check.csv。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解释缺口检查：原机制对“承压却买入”的解释存在逻辑缺口（136/231 条）。已改为更合理的“风险冲击/防御落后后的次日均值回归”解释；修订后仅剩 7/231 条仍写“承压”，且全部是反向基金使用风险偏好条件的已知方向冲突问题。明细见 v4_explanation_weak_pressure.csv。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000000"/>
          <w:sz w:val="28"/>
        </w:rPr>
        <w:t>三、风险概览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3.1 合并策略风险分布与波动比值（103 基金）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合并策略相对基金无条件波动比值：min 0.491，P10 0.686，中位数 1.023，P90 1.277，max 1.535。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2"/>
        <w:gridCol w:w="2882"/>
        <w:gridCol w:w="2882"/>
      </w:tblGrid>
      <w:tr>
        <w:tc>
          <w:tcPr>
            <w:tcW w:type="dxa" w:w="226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比值区间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基金数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&lt;0.5x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0.97%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0.5-1.0x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46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44.66%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1.0-1.5x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52.43%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1.5-2.0x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1.94%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&gt;2.0x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0.00%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详细指标分布：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36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07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0.361%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0.445%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0.523%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0.773%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1.177%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53.79%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55.38%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61.07%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66.32%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61.59%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66.53%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75.51%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3.22%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4.46%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3.83%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19.78%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24.90%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36.09%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51.11%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70.85%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13.35%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23.31%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34.42%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48.91%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60.72%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2.98%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1.68%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0.076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0.156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0.224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0.270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0.109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0.163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0.248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0.355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0.406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1.05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2.41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3.92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5.63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6.51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0.65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1.57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2.31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3.11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4.18</w:t>
            </w:r>
          </w:p>
        </w:tc>
      </w:tr>
    </w:tbl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3.2 单策略风险分布（231 条）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单策略相对基金无条件波动比值：min 0.442，P10 0.635，中位数 1.026，P90 1.328，max 1.655。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2"/>
        <w:gridCol w:w="2882"/>
        <w:gridCol w:w="2882"/>
      </w:tblGrid>
      <w:tr>
        <w:tc>
          <w:tcPr>
            <w:tcW w:type="dxa" w:w="226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比值区间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&lt;0.5x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1.73%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0.5-1.0x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107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46.32%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1.0-1.5x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111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48.05%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1.5-2.0x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3.90%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&gt;2.0x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0.00%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详细指标分布：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36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07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0.202%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0.255%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0.358%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0.952%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0.286%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0.555%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0.938%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1.827%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54.97%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55.43%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58.00%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62.20%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66.32%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53.97%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56.41%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62.22%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68.33%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80.49%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0.82%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3.73%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5.04%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0.79%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2.19%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3.53%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5.11%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13.03%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24.79%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35.13%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59.14%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79.93%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12.56%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20.88%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34.84%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56.12%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81.13%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0.41%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0.85%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1.36%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2.30%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3.50%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2.06%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0.057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0.104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0.161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0.225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0.359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0.091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0.142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0.270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0.391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0.748</w:t>
            </w:r>
          </w:p>
        </w:tc>
      </w:tr>
      <w:tr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1.05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2.13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3.22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4.17</w:t>
            </w:r>
          </w:p>
        </w:tc>
        <w:tc>
          <w:tcPr>
            <w:tcW w:type="dxa" w:w="1235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5.16</w:t>
            </w:r>
          </w:p>
        </w:tc>
      </w:tr>
      <w:tr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0.59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1.07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1.93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2.84</w:t>
            </w:r>
          </w:p>
        </w:tc>
        <w:tc>
          <w:tcPr>
            <w:tcW w:type="dxa" w:w="1235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4.93</w:t>
            </w:r>
          </w:p>
        </w:tc>
      </w:tr>
    </w:tbl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3.3 风险异常与改进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产品命名说明：UltraSector = 2 倍杠杆行业基金；Ultra China/Japan/Latin America 等 = 2 倍杠杆地区/主题基金；UltraShort/Short = 反向（做空）产品；Bull/Bear = 多头/空头；带 Ultra 前缀一般表示约 2 倍杠杆。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需观察基金（合并层面，含比值 &gt;=1.5）：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02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55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关注点</w:t>
            </w:r>
          </w:p>
        </w:tc>
        <w:tc>
          <w:tcPr>
            <w:tcW w:type="dxa" w:w="158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BLPIX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合并 std 为基金无条件 std 的 1.54 倍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1.80% vs 1.17%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杠杆多头，波动高于基金本身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BLPSX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合并 std 为基金无条件 std 的 1.52 倍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1.79% vs 1.18%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杠杆多头，波动高于基金本身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SPPIX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3.05% vs 2.02%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反向贵金属，波动上升需观察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SPPSX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3.05% vs 2.02%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反向贵金属，波动上升需观察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UXPSX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1.95% vs 1.21%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反向国际，波动上升需观察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情有可原（先写产品，再写指标；只列异常的指标）：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2"/>
        <w:gridCol w:w="2882"/>
        <w:gridCol w:w="2882"/>
      </w:tblGrid>
      <w:tr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关注点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备注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PMPIX / PMPSX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策略 std 4.64% / 4.63%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贵金属 UltraSector 杠杆产品，基金本身全历史 std 3.53% / 3.59%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UHPIX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策略 std 4.46%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Short China 反向杠杆产品，基金本身全历史 std 4.17%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UBPIX / UBPSX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最大单笔亏损 -40.5%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Latin America 杠杆产品，基金本身最大单笔亏损 -40.5%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UAPIX / UAPSX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最大单笔亏损 -32.4%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Small-Cap 杠杆产品，基金本身最大单笔亏损 -50.0% / -41.5%</w:t>
            </w:r>
          </w:p>
        </w:tc>
      </w:tr>
      <w:tr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UGPSX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5.11%</w:t>
            </w:r>
          </w:p>
        </w:tc>
        <w:tc>
          <w:tcPr>
            <w:tcW w:type="dxa" w:w="2882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China 杠杆产品，基金本身全历史 std 4.21%</w:t>
            </w:r>
          </w:p>
        </w:tc>
      </w:tr>
      <w:tr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SMPIX / SMPSX / UGPIX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4.48%-4.90%</w:t>
            </w:r>
          </w:p>
        </w:tc>
        <w:tc>
          <w:tcPr>
            <w:tcW w:type="dxa" w:w="2882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UltraSector/Ultra 杠杆产品，基金本身全历史 std 3.13% / 3.14% / 4.23%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改进措施：SPPIX/SPPSX/UXPSX 列入观察名单，若波动继续上升再评估增加风险门槛；BLPIX/BLPSX 因合并比值 &gt;=1.5 保留在需观察；其余杠杆/反向产品波动高是基金本身特质，不删除。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000000"/>
          <w:sz w:val="28"/>
        </w:rPr>
        <w:t>四、阈值单调性概览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本章假设：对单个策略，把某个条件阈值改深，例如 XLK&lt;=-1% 且 该基金当日回报&lt;=-2% 中的 XLK 改为 &lt;=-2%/-2.5%/-3%，整个策略的平均回报和命中率应递增。以下全部按策略统计；多条件策略只调整被扫描的那个条件，其他子条件保持不变。4.1、4.2、4.3 使用同一份策略级阈值扫描结果。扫描范围已扩展到全部数值条件：包括 ETF/自身的 up/down（0 阈值）、big/gt/lt、外部 up/down/ge/le，以及连跌天数；以交付阈值为中心，同时扫描更松和更紧的阈值（例如原 VIX&gt;2，则 1/1.5/2/2.5/3 都计算）。共 563 组扫描（562 组数值阈值 + 1 组连跌天数），其中 479 组进入方向一致性统计（其余组有效阈值点不足 2 个）。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4.1 策略阈值扫描汇总（以交付阈值为中心，偏移为正表示更严格）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说明：偏移 0 即交付阈值。对 EEM&gt;0、JNK&lt;0 这类条件，交付阈值就是 0%；对 XLK&gt;=1%、VIX5d&gt;=10% 等，交付阈值是 1%、10% 等原数值。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负向阈值扫描（策略级，其余条件固定；同一策略调整不同条件计为不同策略）：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7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阈值偏移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平均回报中位数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命中率中位数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交易数中位数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-1.5%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1193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0.308%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994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0.232%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56.0%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817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33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0%（交付阈值）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0.407%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56.9%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519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38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0.365%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58.1%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243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323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0.443%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58.3%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118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286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+1.5%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0.470%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214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+2%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0.490%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64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118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正向阈值扫描（策略级，其余条件固定）：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7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阈值偏移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平均回报中位数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命中率中位数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交易数中位数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-2%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0.300%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693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0.297%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56.7%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653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0.298%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612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0.260%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571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0%（交付阈值）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0.367%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58.2%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433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0.324%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58.1%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208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238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0.334%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58.9%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135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189</w:t>
            </w:r>
          </w:p>
        </w:tc>
      </w:tr>
      <w:tr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+1.5%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0.355%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59.4%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149</w:t>
            </w:r>
          </w:p>
        </w:tc>
        <w:tc>
          <w:tcPr>
            <w:tcW w:type="dxa" w:w="1729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141</w:t>
            </w:r>
          </w:p>
        </w:tc>
      </w:tr>
      <w:tr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+2%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106</w:t>
            </w:r>
          </w:p>
        </w:tc>
        <w:tc>
          <w:tcPr>
            <w:tcW w:type="dxa" w:w="1729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98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结论：负向策略在更严格一侧平均回报和命中率中位数整体仍小幅上升，但交易数明显下降，交付阈值是平衡点；正向策略在交付阈值附近平均回报最高，更严格后命中率略升、交易数下降。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4.2 策略连跌扫描（策略级）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现役策略中只有 GVPSX 使用 self_3down（长期国债下跌 且 该基金连续3日下跌），按策略扫描连续下跌天数，其他条件固定：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连续下跌天数</w:t>
            </w:r>
          </w:p>
        </w:tc>
        <w:tc>
          <w:tcPr>
            <w:tcW w:type="dxa" w:w="204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 天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-0.029%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50.2%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793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 天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+0.097%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54.3%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1023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 天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+0.207%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58.0%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400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 天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+0.278%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89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 天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无触发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结论：连跌天数从 1 增至 4，平均回报与命中率单调上升，符合“连跌越久反弹越强”的假设；第 5 天叠加外部条件后无触发。</w:t>
      </w:r>
    </w:p>
    <w:p>
      <w:pPr>
        <w:pStyle w:val="Heading3"/>
        <w:jc w:val="left"/>
      </w:pPr>
      <w:r>
        <w:rPr>
          <w:rFonts w:ascii="SimHei" w:hAnsi="SimHei" w:eastAsia="SimHei"/>
          <w:b/>
          <w:color w:val="000000"/>
          <w:sz w:val="24"/>
        </w:rPr>
        <w:t>4.3 方向相反的异常策略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按策略逐条统计阈值加深后的效果方向，同时看平均回报与命中率两个相关系数；任一指标相关系数 &lt; -0.5 即列入异常。全部 479 组可统计策略级阈值扫描中，负向策略平均回报中位数相关系数为 +0.79、命中率中位数为 +0.75；正向策略分别为 +0.48、+0.19。共 190 组异常策略（同一策略调整不同条件计为不同组）：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50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基金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条件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调整条件</w:t>
            </w:r>
          </w:p>
        </w:tc>
        <w:tc>
          <w:tcPr>
            <w:tcW w:type="dxa" w:w="90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平均回报rho</w:t>
            </w:r>
          </w:p>
        </w:tc>
        <w:tc>
          <w:tcPr>
            <w:tcW w:type="dxa" w:w="907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命中率rho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异常指标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BTCFX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IWM&lt;0 且 SPY&lt;0，买基金后2日平均回报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XLV&lt;0 且 美元/黄金&lt;=-1.0%，买基金第二天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LQD&gt;0 且 QQQ&lt;0 且 XLU&gt;0，买基金第二天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XLV&lt;0 且 VIX5d&gt;=10.0%，买基金后2日平均回报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GVPSX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TLT&lt;0 且 该基金连续3日下跌，买基金第二天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HCPIX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LQD&gt;0 且 XLC&gt;0 且 XLE&lt;0，买基金第二天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HCPSX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LQD&gt;0 且 XLC&gt;0 且 XLE&lt;0，买基金第二天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GLD&lt;0 且 TLT&lt;0，买基金后2日平均回报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GLD&lt;0 且 TLT&lt;0，买基金后2日平均回报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SLV&gt;0 且 SPY&lt;0 且 TIP&gt;0，买基金第二天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UKPIX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信用利差&gt;0，买基金后2日平均回报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UXPSX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SLV&gt;0 且 TIP&lt;0 且 TLT&lt;0，买基金后2日平均回报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BTCFX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IWM&lt;0 且 SPY&lt;0，买基金后2日平均回报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BTCFX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XLK&lt;0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BTCFX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信用利差&lt;0，买基金后2日平均回报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JNK&gt;0 且 QQQ&lt;0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REPSX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JNK&gt;0 且 QQQ&lt;0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UHPSX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FXY&lt;0 且 IWM&gt;0 且 XLE&lt;0，买基金后2日平均回报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UKPIX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LQD&lt;0 且 TIP&lt;0 且 XLC&lt;0，买基金后2日平均回报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IDPSX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SLV&gt;0 且 TLT&lt;0，买基金第二天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REPSX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XLF&lt;0 且 XLU&lt;0，买基金第二天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0.54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XLK&lt;0 且 股债相关&lt;0，买基金第二天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XLE&lt;0 且 VIX5d&gt;=10.0%，买基金第二天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XLV&lt;0，买基金后2日平均回报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UGPIX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-0.28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XLE&lt;0 且 VIX5d&gt;=10.0%，买基金第二天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GDX&gt;0 且 GLD&gt;0，买基金第二天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VIX5d&gt;0，买基金第二天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QQQ_big_down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XLE&lt;0 且 VIX5d&gt;=10.0%，买基金第二天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XLE&lt;0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XLE&lt;0 且 VIX5d&gt;=10.0%，买基金第二天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UGPIX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板块轮动&lt;0，买基金后2日平均回报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ext_sect_rotation_down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VIX5d&gt;0，买基金第二天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QQQ_big_down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UCPSX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GDX&lt;0 且 XLC&gt;0 且 XLF&gt;0，买基金第二天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XLE&lt;0 且 XLF&lt;0，买基金第二天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SMPSX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XLV&lt;0 且 美元/黄金&lt;0，买基金后2日平均回报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ext_usd_gold_ratio_down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QQQ_big_down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QQQ_big_down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BTCFX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XLK&lt;0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PHPSX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TIP&gt;0 且 XLE&lt;0 且 XLK&gt;0，买基金第二天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TIP&gt;0 且 XLE&lt;0 且 XLK&gt;0，买基金第二天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UTPSX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JNK&lt;0 且 XLU&lt;0，买基金第二天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XLU_down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UJPSX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SPY&lt;0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IDPIX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LQD&gt;0 且 XLF&lt;0，买基金第二天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0.31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UJPIX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SPY&lt;0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HCPSX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HCPIX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UJPSX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SPY&lt;0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XLF&lt;=-1% 且 该基金当日回报&lt;0，买基金第二天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SLV&lt;0 且 XLV&lt;0，买基金后3日平均回报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UJPIX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SPY&lt;0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0.53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ext_sect_rotation_down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0.01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XLK&lt;=-1% 且 该基金当日回报&lt;=-2%，买基金第二天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XLK_big_down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-0.11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板块轮动&gt;0 且 该基金当日回报&lt;=-2%，买基金第二天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self_big_down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板块轮动&gt;0 且 该基金当日回报&lt;=-2%，买基金第二天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self_big_down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BKPIX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IWM&lt;0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该基金当日回报&lt;=-2%，买基金第二天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UJPSX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XLK&lt;0，买基金后2日平均回报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XLE&lt;0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0.55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XLF&lt;=-1% 且 该基金当日回报&lt;0，买基金第二天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PHPIX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XLE&lt;0 且 XLF&lt;0，买基金第二天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IWM&lt;0 且 美元/黄金&lt;=-1.0%，买基金第二天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IWM_down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TIP&gt;0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UAPIX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XLE&lt;0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TLT&gt;0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UFPSX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LQD&lt;0 且 SLV&lt;0 且 XLF&lt;0，买基金后3日平均回报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UFPIX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LQD&lt;0 且 SLV&lt;0 且 XLF&lt;0，买基金后3日平均回报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SGPSX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-0.11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0.12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GDX&gt;0，买基金第二天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0.34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XLK&lt;=-1% 且 该基金当日回报&lt;=-2%，买基金第二天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self_big_down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0.38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SLV&gt;0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0.60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XLE&lt;0 且 该基金当日回报&lt;0，买基金第二天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0.60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SMPSX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VIX5d&gt;0 且 该基金当日回报&lt;0，买基金第二天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XLV&lt;0，买基金后2日平均回报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XLV&lt;=-1% 且 该基金当日回报&lt;0，买基金第二天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XLV&lt;=-1% 且 该基金当日回报&lt;0，买基金第二天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BLPIX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XLV&lt;=-1% 且 该基金当日回报&lt;0，买基金第二天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BLPSX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XLV&lt;=-1% 且 该基金当日回报&lt;0，买基金第二天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self_down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GLD&gt;0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LVPIX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XLV&lt;0 且 美元/黄金&lt;=-1.0%，买基金第二天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UTPSX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XLK&lt;0 且 XLV&lt;0，买基金后3日平均回报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UUP&lt;0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LVPSX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XLV&lt;0 且 美元/黄金&lt;=-1.0%，买基金第二天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OEPIX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TLT&lt;0 且 XLE&gt;0 且 XLU&lt;0，买基金后2日平均回报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XLU_down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OEPSX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TLT&lt;0 且 XLE&gt;0 且 XLU&lt;0，买基金后2日平均回报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XLU_down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SGPSX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LQD&gt;0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XLK_down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HYG&gt;0 且 QQQ&lt;0，买基金后2日平均回报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QQQ_down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BITIX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JNK&gt;0 且 SPY&gt;0，买基金第二天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BITIX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XLC&gt;0 且 该基金当日回报&lt;0，买基金第二天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收益率曲线&gt;0，买基金第二天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ext_yld_curve_proxy_up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收益率曲线&gt;0，买基金第二天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ext_yld_curve_proxy_up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OEPIX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GLD&lt;0 且 SPY&gt;0 且 XLC&gt;0，买基金后2日平均回报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nan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OEPSX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GLD&lt;0 且 SPY&gt;0 且 XLC&gt;0，买基金后2日平均回报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nan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PHPIX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QQQ&lt;0 且 XLE&gt;0，买基金后2日平均回报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SPY&gt;0 且 XLC&gt;0 且 XLK&gt;0，买基金第二天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XLE&gt;0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XLE&gt;0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UCPSX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GDX&lt;0 且 XLC&gt;0 且 XLF&gt;0，买基金第二天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UHPSX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XLC&lt;0 且 板块轮动&gt;0，买基金后3日平均回报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ext_sect_rotation_up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UOPSX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TLT&gt;0 且 XLU&gt;0，买基金第二天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TLT_up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USPIX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SLV&gt;0 且 XLV&gt;0，买基金第二天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UVPIX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TIP&lt;0 且 XLU&gt;0，买基金后2日平均回报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XLU_up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QQQ&gt;0 且 XLC&gt;0 且 XLV&gt;0，买基金第二天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SPY&gt;0 且 XLC&gt;0 且 XLK&gt;0，买基金第二天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XLK_up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UOPIX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VIX&gt;0 且 该基金当日回报&lt;=-2%，买基金第二天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ext_vix_chg_up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USPIX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SLV&gt;0 且 XLV&gt;0，买基金第二天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REPSX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SLV&gt;0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HYG&lt;0 且 SLV&gt;0，买基金后3日平均回报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ext_vix_chg_up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ext_vix_chg_up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VIX5d&gt;0，买基金第二天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FXY&lt;0 且 GLD&lt;0 且 XLF&gt;0，买基金后2日平均回报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XLF_up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QQQ&lt;=-1% 且 VIX5d&gt;0，买基金第二天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GLD&gt;0 且 SPY&lt;0，买基金第二天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UOPSX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VIX&gt;0 且 该基金当日回报&lt;=-2%，买基金第二天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ext_vix_chg_up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REPIX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VIX5d&gt;0，买基金第二天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收益率曲线&gt;0，买基金第二天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IDPSX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QQQ&lt;0 且 SLV&gt;0 且 TLT&lt;0，买基金第二天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XLE&gt;0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XLE&gt;0 且 XLV&lt;0，买基金第二天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XLE_up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GLD&lt;0 且 TLT&lt;0，买基金后2日平均回报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EEM&gt;0 且 GLD&lt;0 且 TLT&lt;0，买基金后2日平均回报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REPIX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SLV&gt;0 且 XLV&lt;0，买基金第二天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收益率曲线&gt;0，买基金第二天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INPIX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GDX&gt;0 且 GLD&gt;0，买基金第二天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BKPIX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IWM&lt;0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GLD&gt;0 且 JNK&lt;0，买基金第二天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BMPSX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JNK&lt;0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-0.38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JNK&lt;0 且 XLF&lt;0，买基金第二天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TEPIX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XLF&lt;0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UEPIX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UHPIX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HYG&gt;0 且 SLV&gt;0 且 XLC&gt;0，买基金第二天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-0.25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UHPIX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HYG&gt;0 且 SLV&gt;0 且 XLC&gt;0，买基金第二天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平均回报、命中率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UIPIX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XLC&gt;=1% 且 美元/黄金&lt;0，买基金后2日平均回报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XLC_big_up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-0.52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UKPSX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QQQ&gt;0 且 SPY&gt;0 且 TIP&lt;0，买基金后2日平均回报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SPY_up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IDPIX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LQD&gt;0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平均回报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TIP&gt;0 且 VIX5d&gt;=10.0%，买基金后3日平均回报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ext_vix_5dchg_ge10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-0.43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HYG&lt;0 且 SLV&gt;0，买基金后3日平均回报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OTPIX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XLC&lt;0，买基金第二天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-0.34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INPSX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IWM&gt;0 且 TIP&gt;0，买基金第二天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IWM_up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-0.27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TIP&gt;0 且 VIX5d&gt;=10.0%，买基金后3日平均回报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ext_vix_5dchg_ge10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-0.27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CYPSX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EEM&lt;0 且 SLV&gt;0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-0.25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MLPIX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XLF&lt;0，买基金第二天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-0.17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MLPSX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-0.17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-0.59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UNPIX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SLV&gt;0 且 VIX5d&gt;=10.0%，买基金后2日平均回报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ext_vix_5dchg_ge10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-0.08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MDPIX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0.14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SGPIX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XLC&lt;0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0.19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XLF&lt;0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0.21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板块轮动&gt;0 且 该基金当日回报&lt;=-2%，买基金第二天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ext_sect_rotation_up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0.37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SGPIX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XLF&lt;0，买基金第二天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MGPSX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XLF&lt;0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-0.61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SGPSX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0.45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IDPIX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0.48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UGPIX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QQQ&lt;0，买基金第二天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0.57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UMPSX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0.59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UMPIX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0.63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UTPSX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XLK&lt;0 且 XLV&lt;0，买基金后3日平均回报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0.74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-0.81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SVPSX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SPY&lt;0 且 XLK&lt;0，买基金第二天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0.81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-0.57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WCPSX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XLK&lt;0 且 XLV&lt;0，买基金后2日平均回报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0.92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SLV&gt;=1% 且 该基金当日回报&lt;0，买基金后2日平均回报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SLV_big_up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0.94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板块轮动&lt;=-0.5%，买基金后2日平均回报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0.96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-0.71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UBPSX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GDX&gt;0 且 板块轮动&lt;=-0.5%，买基金后2日平均回报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GDX_up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0.97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-0.76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WCPIX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XLK&lt;0 且 XLV&lt;0，买基金后2日平均回报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0.99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-0.94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UDPSX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 且 TIP&gt;0，买基金第二天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BIPSX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XLE&lt;0 且 XLU&gt;0，买基金第二天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XLU_up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INPSX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LQD&lt;0 且 XLK&lt;0，买基金后3日平均回报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PHPSX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IWM&gt;0 且 LQD&gt;0 且 SLV&lt;0，买基金第二天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IWM_up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UKPSX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QQQ&gt;0 且 SPY&gt;0 且 TIP&lt;0，买基金后2日平均回报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QQQ_up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ULPIX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FXY&gt;0 且 GDX&gt;0，买基金第二天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FXY_up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UTPSX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JNK&lt;0 且 XLU&lt;0，买基金第二天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  <w:tr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UVPIX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GLD&gt;0 且 TIP&lt;0 且 XLU&gt;0，买基金后2日平均回报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GLD_up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-1.00</w:t>
            </w:r>
          </w:p>
        </w:tc>
        <w:tc>
          <w:tcPr>
            <w:tcW w:type="dxa" w:w="144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4"/>
              </w:rPr>
              <w:t>命中率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异常类别概览（多 sheet Excel：v4_strategy_direction_categories.xlsx）：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异常类别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1134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特征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触发阈值太少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103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54.2%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有效阈值点不足 4 个，无法可靠判断趋势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末端反转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29.5%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平均回报先升后降，最后 1-2 个阈值明显回落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忽上忽下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27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14.2%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阈值间方向频繁切换，无稳定趋势</w:t>
            </w:r>
          </w:p>
        </w:tc>
      </w:tr>
      <w:tr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整体反向单调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1.6%</w:t>
            </w:r>
          </w:p>
        </w:tc>
        <w:tc>
          <w:tcPr>
            <w:tcW w:type="dxa" w:w="2161"/>
            <w:shd w:fill="E6E6E6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阈值越严格，平均回报持续下降</w:t>
            </w:r>
          </w:p>
        </w:tc>
      </w:tr>
      <w:tr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拐点先升后降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0.5%</w:t>
            </w:r>
          </w:p>
        </w:tc>
        <w:tc>
          <w:tcPr>
            <w:tcW w:type="dxa" w:w="2161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存在中间峰值，峰后趋势反转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0"/>
        </w:rPr>
        <w:t>异常策略数 &gt;=10，逐策略阈值明细改放 CSV：v4_strategy_direction_detail_v2.csv。改进措施：对这些异常策略不做“更深阈值”外推，优先保留交付阈值。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