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SimHei" w:hAnsi="SimHei" w:eastAsia="SimHei"/>
          <w:b/>
          <w:color w:val="000000"/>
          <w:sz w:val="32"/>
        </w:rPr>
        <w:t>ProFunds 策略稳健性与改善评估报告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日期：2026-08-18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口径：m30_v2 正式版，103 支非货币基金、231 条策略；mapping 与 Excel、全部分析使用同一份当前 8/4 数据，mapping 与重算差异为 0。条件表述与正式 Excel 说明一致。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一、样本外有效性概览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固定切分将历史数据分为建模段（train）与回测段（test）。严格重选指只用建模段数据重新选择策略，再用未参与建模的 2025 年后数据回测，避免选策略时看过回测成绩。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1.1 现役 m30_v2 固定切分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54.01%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60.64%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67.13%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75.51%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0.139%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0.566%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0.773%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3.31%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5.21%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3.83%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1391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2251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175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235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结论：103/103 支基金回测段命中率 &gt;=55%，平均回报与命中率均高于建模段，未见样本外衰减。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1.2 严格重选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54.71%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67.13%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44.00%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55.16%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65.97%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75.61%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0.431%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2.128%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-0.207%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1.031%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3.61%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10.00%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4.68%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1352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2419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151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206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结论：严格重选后仍有 99/103 支命中率 &gt;=50%、93/103 支 &gt;=55%，策略效果不是只靠看过回测段才成立。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1.3 训练效果异常与改进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需要从候选池补强或替换（同时展示全历史与 2025 后）：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全历史命中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2025后命中</w:t>
            </w:r>
          </w:p>
        </w:tc>
        <w:tc>
          <w:tcPr>
            <w:tcW w:type="dxa" w:w="124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问题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UDPSX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QQQ&lt;=-1% 且 VIX5d&gt;0，买基金第二天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训练效果弱且波动高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UIPSX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FXY&lt;0 且 GLD&gt;0 且 XLC&gt;0，买基金后2日平均回报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XLC&lt;0 且 信用利差&gt;0，买基金后2日平均回报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UTPSX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GLD&gt;0 且 JNK&lt;0 且 XLU&lt;0，买基金第二天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全历史偏弱但 2025 后明显改善，暂不删除、继续观察：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全历史命中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2025后命中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CYPSX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SLV&gt;0 且 XLF&lt;0，买基金第二天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0.218%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59.1%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0.483%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65.9%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IDPSX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SPY&lt;0 且 美元/黄金&lt;=-1.0%，买基金第二天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0.248%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58.8%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0.606%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62.8%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OEPIX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XLU&lt;=-1% 且 VIX收盘&gt;0，买基金后3日平均回报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0.317%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0.610%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65.4%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SGPIX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GDX&gt;0 且 XLC&lt;0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0.211%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0.605%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66.7%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SVPIX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SLV&gt;0 且 SPY&lt;0 且 TIP&gt;0，买基金第二天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55.7%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0.596%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67.5%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LQD&lt;0 且 TIP&lt;0 且 XLC&lt;0，买基金后2日平均回报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0.247%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57.5%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0.405%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64.3%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改进措施：优先用候选池中更显著的信号替换 4 条训练弱策略；全历史弱但 2025 后强的 6 条继续观察，不为了凑覆盖硬塞低质量信号。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二、策略解释概览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231 条策略已逐条给出经济解释，输出列包括“触发条件”“条件解释”与“机制”，不含条件代码和历史统计；全部明细见 v4_strategy_explanation_v3.csv。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2.1 反向基金方向冲突（需改善）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反向基金应在标的下跌时上涨，但以下策略在“标的上涨/风险偏好回暖”条件下买入反向基金，等于赌风险偏好次日立即反转，经济逻辑弱：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87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问题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JNK&gt;0 且 SPY&gt;0，买基金第二天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GLD&gt;0 且 SLV&gt;0，买基金后2日平均回报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0.346%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反向基金使用风险偏好+贵金属条件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SNPIX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QQQ&gt;0 且 XLC&gt;0 且 XLV&gt;0，买基金第二天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0.371%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SNPSX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SPY&gt;0 且 XLC&gt;0 且 XLK&gt;0，买基金第二天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UCPIX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JNK&gt;0 且 LQD&lt;0 且 XLC&gt;0，买基金第二天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反向基金信用信号混乱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UHPIX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HYG&gt;0 且 SLV&gt;0 且 XLC&gt;0，买基金第二天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0.428%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反向基金使用风险偏好+贵金属条件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UHPSX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FXY&lt;0 且 IWM&gt;0 且 XLE&lt;0，买基金第二天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反向基金条件方向不明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QQQ&gt;0 且 SPY&gt;0 且 TIP&lt;0，买基金第二天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USPIX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SLV&gt;0 且 XLV&gt;0，买基金第二天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0.497%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USPSX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GLD&gt;0 且 HYG&gt;0，买基金第二天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反向基金使用风险偏好+避险条件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UVPIX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UUP&gt;0 且 XLF&lt;0，买基金第二天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反向基金使用新兴市场上涨条件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2.2 比特币基金解释受限（情有可原）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87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原因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XLC&gt;0 且 该基金当日回报&lt;0，买基金第二天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QQQ&lt;0 且 XLK&lt;0 且 XLV&lt;0，买基金第二天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0.687%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信用利差&lt;0，买基金后2日平均回报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IWM&lt;0 且 SPY&lt;0，买基金后2日平均回报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0.461%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改进措施：反向基金优先替换为方向一致的条件，例如做空新兴市场用 EEM&lt;0、做空科技用 QQQ&lt;0 或 XLK&lt;0；若保留，须明确标注为均值回归逻辑并做样本外验证。比特币基金暂不处理，未来加入加密参考资产后优先重做。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三、风险概览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3.1 合并策略风险分布与波动比值（103 基金）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合并策略相对基金无条件波动比值：min 0.491，P10 0.686，中位数 1.023，P90 1.277，max 1.535。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比值区间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基金数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&lt;0.5x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0.97%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0.5-1.0x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46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44.66%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1.0-1.5x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52.43%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1.5-2.0x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1.94%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&gt;2.0x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0.00%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详细指标分布：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0.445%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0.773%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53.79%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61.07%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66.32%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75.51%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4.46%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3.83%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19.78%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24.90%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36.09%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51.11%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70.85%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13.35%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23.31%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34.42%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48.91%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60.72%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2.98%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1.68%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0.076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0.156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0.406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2.41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3.92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5.63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6.51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2.31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3.11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4.18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3.2 单策略风险分布（231 条）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单策略相对基金无条件波动比值：min 0.442，P10 0.635，中位数 1.026，P90 1.328，max 1.655。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比值区间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&lt;0.5x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1.73%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0.5-1.0x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107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46.32%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1.0-1.5x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111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48.05%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1.5-2.0x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3.90%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&gt;2.0x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0.00%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详细指标分布：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0.952%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0.555%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0.938%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1.827%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54.97%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66.32%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53.97%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62.22%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68.33%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80.49%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3.73%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5.04%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5.11%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13.03%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24.79%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35.13%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79.93%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12.56%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20.88%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34.84%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56.12%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81.13%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2.30%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3.50%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0.057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0.359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0.091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0.142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0.748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4.17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5.16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2.84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4.93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3.3 风险异常与改进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需观察基金（合并层面，含比值 &gt;=1.5）：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55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关注点</w:t>
            </w:r>
          </w:p>
        </w:tc>
        <w:tc>
          <w:tcPr>
            <w:tcW w:type="dxa" w:w="158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数值</w:t>
            </w:r>
          </w:p>
        </w:tc>
        <w:tc>
          <w:tcPr>
            <w:tcW w:type="dxa" w:w="215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BLPIX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合并 std 为基金无条件 std 的 1.54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1.80% vs 1.17%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杠杆多头，波动高于基金本身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BLPSX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合并 std 为基金无条件 std 的 1.52 倍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1.79% vs 1.18%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杠杆多头，波动高于基金本身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SPPIX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3.05% vs 2.02%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反向贵金属，波动上升需观察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SPPSX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3.05% vs 2.02%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反向贵金属，波动上升需观察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UXPSX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1.95% vs 1.21%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反向国际，波动上升需观察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情有可原（杠杆/反向产品，波动高是基金本身特质，不是策略选错）：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关注点</w:t>
            </w:r>
          </w:p>
        </w:tc>
        <w:tc>
          <w:tcPr>
            <w:tcW w:type="dxa" w:w="3969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备注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PMPIX / PMPSX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策略 std 4.64% / 4.63%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基金本身全历史 std 3.53% / 3.59%，最大单笔亏损 -24.9%；贵金属 UltraSector 杠杆产品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UHPIX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策略 std 4.46%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基金本身全历史 std 4.17%，最大单笔亏损 -50.0%；Ultra Short China 反向杠杆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UBPIX / UBPSX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最大单笔亏损 -40.5%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基金本身全历史 std 4.02%，最大单笔亏损 -40.5%；Ultra Latin America 杠杆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UAPIX / UAPSX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最大单笔亏损 -32.4%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基金本身全历史 std 3.13% / 3.02%，最大单笔亏损 -50.0% / -41.5%；Ultra Small-Cap 杠杆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UGPSX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5.11%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基金本身全历史 std 4.21%，最大单笔亏损 -26.0%；Ultra China 杠杆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SMPIX / SMPSX / UGPIX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4.48%-4.90%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基金本身全历史 std 3.13% / 3.14% / 4.23%；UltraSector/Ultra 杠杆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改进措施：SPPIX/SPPSX/UXPSX 列入观察名单，若波动继续上升再评估增加风险门槛；BLPIX/BLPSX 因合并比值 &gt;=1.5 保留在需观察；其余杠杆/反向产品波动高是基金本身特质，不删除。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四、阈值单调性概览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本章假设：对单个策略，把某个条件阈值改深，例如 XLK&lt;=-1% 且 该基金当日回报&lt;=-2% 中的 XLK 改为 &lt;=-2%/-2.5%/-3%，整个策略的平均回报和命中率应递增。以下全部按策略统计；多条件策略只调整被扫描的那个条件，其他子条件保持不变。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4.1 策略阈值扫描汇总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负向阈值扫描（策略级，其余条件固定）：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204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交易数中位数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1041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56.5%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606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370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57.7%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217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0.290%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155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0.266%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240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正向阈值扫描（策略级，其余条件固定）：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204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交易数中位数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0.188%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560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0.300%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257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0.419%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86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0.468%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63.0%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19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0.387%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0.389%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52.0%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25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结论：负向和正向都在 -2%/+2% 附近达到平均回报中位数峰值，更深阈值不再单调上升；+2.5%/+3% 策略数很少，中位数参考意义有限。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4.2 策略连跌扫描（策略级）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现役策略中只有 GVPSX 使用 self_3down（长期国债下跌 且 该基金连续3日下跌），按策略扫描连续下跌天数，其他条件固定：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连续下跌天数</w:t>
            </w:r>
          </w:p>
        </w:tc>
        <w:tc>
          <w:tcPr>
            <w:tcW w:type="dxa" w:w="204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-0.029%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50.2%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793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 天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+0.097%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1023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+0.207%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400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 天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+0.278%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89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结论：连跌天数从 1 增至 4，平均回报与命中率单调上升，符合“连跌越久反弹越强”的假设；第 5 天叠加外部条件后无触发。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4.3 方向相反的策略（逐策略展开）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以下 5 条策略的阈值加深方向与全策略中位数明显相反（相关系数 &lt; -0.5），逐策略展示平均回报、命中率、交易数。多条件策略只调整被扫描条件，其余条件固定。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CYPIX：XLK&lt;=-1% 且 该基金当日回报&lt;=-2%，买基金第二天（只调整 XLK 阈值，自身大跌固定 -2%）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0.326%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56.7%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217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0.455%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145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0.641%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118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-0.388%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17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UBPIX：QQQ&lt;=-1% 且 VIX&gt;0，买基金第二天（只调整 QQQ 阈值，VIX&gt;0 固定）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882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0.437%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588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0.378%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57.6%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370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0.285%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57.4%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195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-0.422%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83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-1.864%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UBPSX：QQQ&lt;=-1% 且 VIX&gt;0，买基金第二天（只调整 QQQ 阈值，VIX&gt;0 固定）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0.253%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892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0.432%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56.5%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588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370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0.274%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195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-0.430%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83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-1.843%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UDPSX：QQQ&lt;=-1% 且 VIX5d&gt;0，买基金第二天（只调整 QQQ 阈值，VIX5d&gt;0 固定）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0.192%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839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517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0.182%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317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-0.057%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165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-0.274%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52.9%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68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ULPIX：QQQ&lt;=-1% 且 VIX5d&gt;0，买基金第二天（只调整 QQQ 阈值，VIX5d&gt;0 固定）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54.9%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839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0.255%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517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317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0.071%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165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-0.021%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53.6%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69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改进措施：这 5 条策略不做“更深阈值”外推，当前 -1% 阈值反而更优；其余策略保持 -2% 固定阈值即可。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