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 w:eastAsia="SimHei"/>
          <w:b/>
          <w:color w:val="000000"/>
          <w:sz w:val="32"/>
        </w:rPr>
        <w:t>ProFunds 策略稳健性与改善评估报告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日期：2026-08-18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口径：m30_v2 正式版，103 支非货币基金、231 条策略；mapping 与 Excel、全部分析使用同一份当前 8/4 数据，mapping 与重算差异为 0。条件表述与正式 Excel 说明一致。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一、样本外有效性概览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固定切分将历史数据分为建模段（train）与回测段（test）。建模段为 2005-06-15 ~ 2024-12-31；回测段为 2025-01-01 ~ 2026-08-04。严格重选指只用建模段数据重新选择策略，再用未参与建模的回测段数据回测，避免选策略时看过回测成绩。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1.1 现役 m30_v2 固定切分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60.64%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0.139%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5.21%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1391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结论：103/103 支基金回测段命中率 &gt;=55%、平均回报 &gt;=0.2%，没有基金在回测段掉出合格线，平均回报与命中率均高于建模段，未见样本外衰减。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1.2 严格重选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67.13%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44.00%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55.16%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75.61%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2.128%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-0.207%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10.00%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4.68%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建模段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1352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2419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交易数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回测段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76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206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结论：严格重选后仍有 99/103 支命中率 &gt;=50%、93/103 支 &gt;=55%，策略效果不是只靠看过回测段才成立。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1.3 训练效果异常与改进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需要从候选池补强或替换（同时展示全历史与 2025 后）：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训练效果弱且波动高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GLD&gt;0 且 XLC&gt;0，买基金后2日平均回报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XLC&lt;0 且 信用利差&gt;0，买基金后2日平均回报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UTPSX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GLD&gt;0 且 JNK&lt;0 且 XLU&lt;0，买基金第二天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训练效果偏弱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全历史偏弱但 2025 后明显改善，暂不删除、继续观察：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全历史命中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2025后平均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2025后命中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SLV&gt;0 且 XLF&lt;0，买基金第二天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0.218%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0.483%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65.9%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IDPSX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SPY&lt;0 且 美元/黄金&lt;=-1.0%，买基金第二天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58.8%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0.606%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62.8%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OEPIX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XLU&lt;=-1% 且 VIX收盘&gt;0，买基金后3日平均回报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0.317%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0.610%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65.4%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SGPIX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GDX&gt;0 且 XLC&lt;0 且 XLK&lt;0，买基金第二天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0.211%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66.7%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SVPIX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SLV&gt;0 且 SPY&lt;0 且 TIP&gt;0，买基金第二天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55.7%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0.596%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67.5%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LQD&lt;0 且 TIP&lt;0 且 XLC&lt;0，买基金后2日平均回报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0.405%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64.3%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说明：UDPSX、UIPSX 的 2025 后表现也明显改善（平均 0.536%/0.526%、命中 67.9%/60.5%），但全历史平均回报与显著性仍偏弱，UDPSX 同时波动偏高，因此仍列入补强名单；若只按 2025 后口径，可按观察名单处理。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改进措施：优先用候选池中更显著的信号替换 4 条训练弱策略；全历史弱但 2025 后强的 6 条继续观察，不为了凑覆盖硬塞低质量信号。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二、策略解释概览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231 条策略已逐条给出经济解释，输出列包括“触发条件”“条件解释”与“机制”，不含条件代码和历史统计；全部明细见 v4_strategy_explanation_v3.csv。机制列按“条件说明了什么 → 带来的市场影响 → 基金产品特征 → 为什么该基金上涨/下跌”四段式书写。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2.1 反向基金方向冲突（需改善）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反向基金应在标的下跌时上涨，但以下策略在“标的上涨/风险偏好回暖”条件下买入反向基金，等于赌风险偏好次日立即反转，经济逻辑弱：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问题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JNK&gt;0 且 SPY&gt;0，买基金第二天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SLV&gt;0，买基金后2日平均回报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0.346%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XLC&gt;0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0.371%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SNPSX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SPY&gt;0 且 XLC&gt;0 且 XLK&gt;0，买基金第二天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UCPIX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JNK&gt;0 且 LQD&lt;0 且 XLC&gt;0，买基金第二天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反向基金信用信号混乱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HYG&gt;0 且 SLV&gt;0 且 XLC&gt;0，买基金第二天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0.428%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反向基金使用风险偏好+贵金属条件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UHPSX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FXY&lt;0 且 IWM&gt;0 且 XLE&lt;0，买基金第二天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反向基金条件方向不明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UKPSX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QQQ&gt;0 且 SPY&gt;0 且 TIP&lt;0，买基金第二天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SLV&gt;0 且 XLV&gt;0，买基金第二天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0.497%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反向基金使用风险偏好条件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USPSX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GLD&gt;0 且 HYG&gt;0，买基金第二天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反向基金使用风险偏好+避险条件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UVPIX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EEM&gt;0 且 UUP&gt;0 且 XLF&lt;0，买基金第二天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58.3%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反向基金使用新兴市场上涨条件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2.2 比特币基金解释受限（情有可原）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60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96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87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原因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BITIX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XLC&gt;0 且 该基金当日回报&lt;0，买基金第二天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0.565%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QQQ&lt;0 且 XLK&lt;0 且 XLV&lt;0，买基金第二天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0.687%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信用利差&lt;0，买基金后2日平均回报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BTCFX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EEM&lt;0 且 IWM&lt;0 且 SPY&lt;0，买基金后2日平均回报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无比特币参考ETF，只能依赖代理变量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改进措施：反向基金优先替换为方向一致的条件，例如做空新兴市场用 EEM&lt;0、做空科技用 QQQ&lt;0 或 XLK&lt;0；若保留，须明确标注为均值回归逻辑并做样本外验证。比特币基金暂不处理，未来加入加密参考资产后优先重做。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三、风险概览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3.1 合并策略风险分布与波动比值（103 基金）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合并策略相对基金无条件波动比值：min 0.491，P10 0.686，中位数 1.023，P90 1.277，max 1.535。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0.97%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44.66%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52.43%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1.94%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0.445%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0.478%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0.773%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1.177%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61.07%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57.20%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61.59%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75.51%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1.25%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4.46%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1.47%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3.83%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19.78%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24.90%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36.09%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51.11%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70.85%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13.35%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23.31%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34.42%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48.91%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60.72%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2.98%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1.68%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0.156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0.248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0.406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2.41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5.63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6.51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0.65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3.11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4.18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3.2 单策略风险分布（231 条）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单策略相对基金无条件波动比值：min 0.442，P10 0.635，中位数 1.026，P90 1.328，max 1.655。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比值区间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  <w:tc>
          <w:tcPr>
            <w:tcW w:type="dxa" w:w="198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占比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&lt;0.5x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1.73%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0.5-1.0x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107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46.32%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1.0-1.5x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111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48.05%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1.5-2.0x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9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3.90%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&gt;2.0x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0.00%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详细指标分布：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36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107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口径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min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P10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中位数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P90</w:t>
            </w:r>
          </w:p>
        </w:tc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max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0.358%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0.952%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0.555%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0.938%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1.827%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54.97%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66.32%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53.97%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56.41%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62.22%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68.33%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80.49%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0.82%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1.56%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2.21%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3.73%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5.04%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2.19%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3.53%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5.11%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13.03%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24.79%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35.13%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59.14%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79.93%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年化波动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12.56%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20.88%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34.84%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56.12%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81.13%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0.85%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1.36%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2.30%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3.50%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下行标准差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0.60%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2.06%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3.08%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0.104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0.225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0.359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平均/std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0.142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0.391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0.748</w:t>
            </w:r>
          </w:p>
        </w:tc>
      </w:tr>
      <w:tr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全历史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1.05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2.13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3.22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4.17</w:t>
            </w:r>
          </w:p>
        </w:tc>
        <w:tc>
          <w:tcPr>
            <w:tcW w:type="dxa" w:w="1235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5.16</w:t>
            </w:r>
          </w:p>
        </w:tc>
      </w:tr>
      <w:tr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t 统计量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2025后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0.59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1.07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1.93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2.84</w:t>
            </w:r>
          </w:p>
        </w:tc>
        <w:tc>
          <w:tcPr>
            <w:tcW w:type="dxa" w:w="1235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4.93</w:t>
            </w:r>
          </w:p>
        </w:tc>
      </w:tr>
    </w:tbl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3.3 风险异常与改进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产品命名说明：UltraSector = 2 倍杠杆行业基金；Ultra China/Japan/Latin America 等 = 2 倍杠杆地区/主题基金；UltraShort/Short = 反向（做空）产品；Bull/Bear = 多头/空头；带 Ultra 前缀一般表示约 2 倍杠杆。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需观察基金（合并层面，含比值 &gt;=1.5）：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02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55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158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数值</w:t>
            </w:r>
          </w:p>
        </w:tc>
        <w:tc>
          <w:tcPr>
            <w:tcW w:type="dxa" w:w="215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1.54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1.80% vs 1.17%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BLPSX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合并 std 为基金无条件 std 的 1.52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1.79% vs 1.18%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杠杆多头，波动高于基金本身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SPPIX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SPPSX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3.05% vs 2.02%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反向贵金属，波动上升需观察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UXPSX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高于建模段 1.5 倍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1.95% vs 1.21%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反向国际，波动上升需观察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情有可原（先写产品，再写指标；只列异常的指标）：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882"/>
        <w:gridCol w:w="2882"/>
        <w:gridCol w:w="2882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关注点</w:t>
            </w:r>
          </w:p>
        </w:tc>
        <w:tc>
          <w:tcPr>
            <w:tcW w:type="dxa" w:w="3969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备注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PMPIX / PMPSX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4.64% / 4.63%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贵金属 UltraSector 杠杆产品，基金本身全历史 std 3.53% / 3.59%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UHPIX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策略 std 4.46%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Short China 反向杠杆产品，基金本身全历史 std 4.17%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 / UBPSX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-40.5%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Latin America 杠杆产品，基金本身最大单笔亏损 -40.5%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UAPIX / UAPSX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最大单笔亏损 -32.4%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Small-Cap 杠杆产品，基金本身最大单笔亏损 -50.0% / -41.5%</w:t>
            </w:r>
          </w:p>
        </w:tc>
      </w:tr>
      <w:tr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UGPSX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5.11%</w:t>
            </w:r>
          </w:p>
        </w:tc>
        <w:tc>
          <w:tcPr>
            <w:tcW w:type="dxa" w:w="2882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 China 杠杆产品，基金本身全历史 std 4.21%</w:t>
            </w:r>
          </w:p>
        </w:tc>
      </w:tr>
      <w:tr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SMPIX / SMPSX / UGPIX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2025 后 std 4.48%-4.90%</w:t>
            </w:r>
          </w:p>
        </w:tc>
        <w:tc>
          <w:tcPr>
            <w:tcW w:type="dxa" w:w="2882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UltraSector/Ultra 杠杆产品，基金本身全历史 std 3.13% / 3.14% / 4.23%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改进措施：SPPIX/SPPSX/UXPSX 列入观察名单，若波动继续上升再评估增加风险门槛；BLPIX/BLPSX 因合并比值 &gt;=1.5 保留在需观察；其余杠杆/反向产品波动高是基金本身特质，不删除。</w:t>
      </w:r>
    </w:p>
    <w:p>
      <w:pPr>
        <w:pStyle w:val="Heading2"/>
        <w:jc w:val="left"/>
      </w:pPr>
      <w:r>
        <w:rPr>
          <w:rFonts w:ascii="SimHei" w:hAnsi="SimHei" w:eastAsia="SimHei"/>
          <w:b/>
          <w:color w:val="000000"/>
          <w:sz w:val="28"/>
        </w:rPr>
        <w:t>四、阈值单调性概览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本章假设：对单个策略，把某个条件阈值改深，例如 XLK&lt;=-1% 且 该基金当日回报&lt;=-2% 中的 XLK 改为 &lt;=-2%/-2.5%/-3%，整个策略的平均回报和命中率应递增。以下全部按策略统计；多条件策略只调整被扫描的那个条件，其他子条件保持不变。4.1、4.2、4.3 使用同一份策略级阈值扫描结果。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4.1 策略阈值扫描汇总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负向阈值扫描（策略级，其余条件固定；同一策略调整不同条件计为不同策略）：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0.245%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1041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606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57.7%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23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0.290%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155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240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正向阈值扫描（策略级，其余条件固定）：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24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命中率中位数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交易数中位数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策略数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560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257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0.419%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86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0.468%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63.0%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</w:t>
            </w:r>
          </w:p>
        </w:tc>
      </w:tr>
      <w:tr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0.387%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75.0%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</w:t>
            </w:r>
          </w:p>
        </w:tc>
        <w:tc>
          <w:tcPr>
            <w:tcW w:type="dxa" w:w="1729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</w:t>
            </w:r>
          </w:p>
        </w:tc>
      </w:tr>
      <w:tr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  <w:tc>
          <w:tcPr>
            <w:tcW w:type="dxa" w:w="1729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结论：负向和正向都在 -2%/+2% 附近达到平均回报中位数峰值，更深阈值不再单调上升；+2.5%/+3% 策略数很少，中位数参考意义有限。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4.2 策略连跌扫描（策略级）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现役策略中只有 GVPSX 使用 self_3down（长期国债下跌 且 该基金连续3日下跌），按策略扫描连续下跌天数，其他条件固定：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连续下跌天数</w:t>
            </w:r>
          </w:p>
        </w:tc>
        <w:tc>
          <w:tcPr>
            <w:tcW w:type="dxa" w:w="204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50.2%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+0.097%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1023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+0.207%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400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 天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+0.278%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 天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结论：连跌天数从 1 增至 4，平均回报与命中率单调上升，符合“连跌越久反弹越强”的假设；第 5 天叠加外部条件后无触发。</w:t>
      </w:r>
    </w:p>
    <w:p>
      <w:pPr>
        <w:pStyle w:val="Heading3"/>
        <w:jc w:val="left"/>
      </w:pPr>
      <w:r>
        <w:rPr>
          <w:rFonts w:ascii="SimHei" w:hAnsi="SimHei" w:eastAsia="SimHei"/>
          <w:b/>
          <w:color w:val="000000"/>
          <w:sz w:val="24"/>
        </w:rPr>
        <w:t>4.3 方向相反的异常策略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按策略逐条统计阈值加深后的效果方向，同时看平均回报与命中率两个相关系数；任一指标相关系数 &lt; -0.5 即列入异常。全部 33 组策略级阈值扫描中，负向策略平均回报中位数相关系数为 +0.73、命中率中位数为 +0.82；正向策略分别为 +0.90、+0.79。共 8 组异常策略（同一策略调整不同条件计为不同组）：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50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基金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条件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调整条件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平均回报rho</w:t>
            </w:r>
          </w:p>
        </w:tc>
        <w:tc>
          <w:tcPr>
            <w:tcW w:type="dxa" w:w="90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命中率rho</w:t>
            </w:r>
          </w:p>
        </w:tc>
        <w:tc>
          <w:tcPr>
            <w:tcW w:type="dxa" w:w="1134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异常指标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BIPIX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SLV&gt;=1% 且 该基金当日回报&lt;0，买基金后2日平均回报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SLV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+0.94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-0.71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-0.62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-0.11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CYPIX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XLK&lt;=-1% 且 该基金当日回报&lt;=-2%，买基金第二天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自身大跌阈值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-0.14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-0.65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-0.79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UBPSX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VIX&gt;0，买基金第二天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-0.66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UDPSX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-0.90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-0.80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  <w:tr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UIPIX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XLC&gt;=1% 且 美元/黄金&lt;0，买基金后2日平均回报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XLC 阈值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-0.52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+1.00</w:t>
            </w:r>
          </w:p>
        </w:tc>
        <w:tc>
          <w:tcPr>
            <w:tcW w:type="dxa" w:w="144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</w:t>
            </w:r>
          </w:p>
        </w:tc>
      </w:tr>
      <w:tr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ULPIX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QQQ&lt;=-1% 且 VIX5d&gt;0，买基金第二天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QQQ 阈值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-0.85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-0.64</w:t>
            </w:r>
          </w:p>
        </w:tc>
        <w:tc>
          <w:tcPr>
            <w:tcW w:type="dxa" w:w="144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平均回报、命中率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逐策略展开如下（8 组 &lt; 10，故保留在文档内；多条件策略只调整被扫描条件，其余条件固定）：</w:t>
      </w:r>
    </w:p>
    <w:p>
      <w:r>
        <w:rPr>
          <w:rFonts w:ascii="Microsoft YaHei" w:hAnsi="Microsoft YaHei" w:eastAsia="Microsoft YaHei"/>
          <w:b w:val="0"/>
          <w:color w:val="000000"/>
          <w:sz w:val="20"/>
        </w:rPr>
        <w:t>BIPIX：SLV&gt;=1% 且 该基金当日回报&lt;0，买基金后2日平均回报（只调整 SLV 阈值，自身下跌固定）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451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58.1%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0.354%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0.389%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25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 XLK）：XLK&lt;=-1%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202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60.0%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145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0.641%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61.9%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118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0.217%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65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-0.388%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17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CYPIX（调整自身大跌）：XLK&lt;=-1% 且 该基金当日回报&lt;=-2%，买基金第二天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293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0.308%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0.327%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361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0.482%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-0.005%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66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0.266%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70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UBPIX：QQQ&lt;=-1%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882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0.378%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0.285%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-0.422%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-1.864%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UBPSX：QQQ&lt;=-1% 且 VIX&gt;0，买基金第二天（只调整 QQQ 阈值，VIX&gt;0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0.253%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892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0.432%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588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0.367%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370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0.274%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195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-0.430%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-1.843%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UDPSX：QQQ&lt;=-1%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0.192%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0.205%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57.3%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0.182%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-0.057%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-0.274%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52.9%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68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UIPIX：XLC&gt;=1% 且 美元/黄金&lt;0，买基金后2日平均回报（只调整 XLC 阈值，美元/黄金&lt;0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0.161%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51.7%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267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55.6%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126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0.055%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59.1%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22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+3%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ULPIX：QQQ&lt;=-1% 且 VIX5d&gt;0，买基金第二天（只调整 QQQ 阈值，VIX5d&gt;0 固定）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</w:tblPr>
      <w:tblGrid>
        <w:gridCol w:w="2161"/>
        <w:gridCol w:w="2161"/>
        <w:gridCol w:w="2161"/>
        <w:gridCol w:w="2161"/>
      </w:tblGrid>
      <w:tr>
        <w:tc>
          <w:tcPr>
            <w:tcW w:type="dxa" w:w="1417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阈值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平均回报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命中率</w:t>
            </w:r>
          </w:p>
        </w:tc>
        <w:tc>
          <w:tcPr>
            <w:tcW w:type="dxa" w:w="1701"/>
            <w:shd w:fill="FFFFFF" w:val="clear"/>
          </w:tcPr>
          <w:p>
            <w:pPr>
              <w:spacing w:before="60" w:after="60"/>
              <w:jc w:val="center"/>
            </w:pPr>
            <w:r>
              <w:rPr>
                <w:rFonts w:ascii="SimHei" w:hAnsi="SimHei" w:eastAsia="SimHei"/>
                <w:b/>
                <w:color w:val="000000"/>
                <w:sz w:val="18"/>
              </w:rPr>
              <w:t>交易数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0.238%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54.9%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839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0.255%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55.9%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517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-1.5%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0.270%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56.2%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317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0.071%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165</w:t>
            </w:r>
          </w:p>
        </w:tc>
      </w:tr>
      <w:tr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-2.5%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-0.021%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53.6%</w:t>
            </w:r>
          </w:p>
        </w:tc>
        <w:tc>
          <w:tcPr>
            <w:tcW w:type="dxa" w:w="2161"/>
            <w:shd w:fill="FFFFFF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69</w:t>
            </w:r>
          </w:p>
        </w:tc>
      </w:tr>
      <w:tr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-3%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无触发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无</w:t>
            </w:r>
          </w:p>
        </w:tc>
        <w:tc>
          <w:tcPr>
            <w:tcW w:type="dxa" w:w="2161"/>
            <w:shd w:fill="E6E6E6" w:val="clear"/>
          </w:tcPr>
          <w:p>
            <w:pPr>
              <w:spacing w:before="20" w:after="20"/>
              <w:jc w:val="center"/>
            </w:pPr>
            <w:r>
              <w:rPr>
                <w:rFonts w:ascii="Microsoft YaHei" w:hAnsi="Microsoft YaHei" w:eastAsia="Microsoft YaHei"/>
                <w:b w:val="0"/>
                <w:color w:val="333333"/>
                <w:sz w:val="16"/>
              </w:rPr>
              <w:t>0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000000"/>
          <w:sz w:val="20"/>
        </w:rPr>
        <w:t>改进措施：这 8 组异常策略不做“更深阈值”外推，当前 -1% 阈值反而更优；其余策略保持 -2% 固定阈值即可。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