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日期：2026-08-18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口径：m30_v2 正式版，103 支非货币基金、231 条策略；mapping 与 Excel、全部分析使用同一份当前 8/4 数据，mapping 与重算差异为 0。条件表述与正式 Excel 说明一致。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2026-08-04。严格重选指只用建模段数据重新选择策略，再用未参与建模的回测段数据回测，避免选策略时看过回测成绩。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1.1 现役 m30_v2 固定切分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&gt;=0.2%，没有基金在回测段掉出合格线，平均回报与命中率均高于建模段，未见样本外衰减。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需要从候选池补强或替换（同时展示全历史与 2025 后）：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后明显改善，暂不删除、继续观察：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全历史弱且波动高，2025后改善明显，按观察处理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全历史弱，2025后改善明显，按观察处理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说明：UDPSX、UIPSX 已移入观察名单。它们 2025 后平均回报 0.536%/0.526%、命中率 67.9%/60.5%，明显改善，但全历史平均回报与显著性仍偏弱，UDPSX 同时波动偏高，因此不直接删除，继续观察。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改进措施：优先用候选池中更显著的信号替换 UKPIX、UTPSX 两条训练弱策略；全历史弱但 2025 后明显的 8 条继续观察，不为了凑覆盖硬塞低质量信号。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条策略已逐条给出经济解释，输出列包括“触发条件”“条件解释”与“机制”，不含条件代码和历史统计；全部明细见 v4_strategy_explanation_v3.csv。机制列按“条件说明了什么 → 带来的市场影响 → 基金产品特征 → 为什么该基金上涨/下跌”四段式书写。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比特币基金解释受限（情有可原）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改进措施：反向基金优先替换为方向一致的条件，例如做空新兴市场用 EEM&lt;0、做空科技用 QQQ&lt;0 或 XLK&lt;0；若保留，须明确标注为均值回归逻辑并做样本外验证。比特币基金暂不处理，未来加入加密参考资产后优先重做。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2.3 同基金/同主题解释一致性检查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“基金”维度检查：没有同一基金在相同市场状态（风险偏好收缩/回暖）下同时出现“价格倾向上涨”和“价格倾向承压”的矛盾解释。按“主题”维度存在方向相反的结论，但原因是主题内同时包含多头与反向基金，例如中国主题既有 Ultra China 多头、也有 Ultra Short China 反向，风险偏好收缩时多头承压、反向产品上涨，属于产品属性，不是解释矛盾。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示例（银行金融类）：BKPIX/BKPSX 的两条解释分别是“风险偏好收缩时价格倾向承压”和“风险偏好回暖时价格倾向上涨”，属于不同市场状态下的互补结论，不构成矛盾。检查明细见 v4_explanation_conflict_check.csv。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解释缺口检查：另有 136/231 条策略的机制包含“价格倾向承压”，但条件里没有“该基金自身下跌”，且策略全历史平均回报为正；这类“承压却要买入”的解释存在逻辑缺口，后续需修订机制，改为说明条件组合的均值回归/反转逻辑。明细见 v4_explanation_weak_pressure.csv。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产品命名说明：UltraSector = 2 倍杠杆行业基金；Ultra China/Japan/Latin America 等 = 2 倍杠杆地区/主题基金；UltraShort/Short = 反向（做空）产品；Bull/Bear = 多头/空头；带 Ultra 前缀一般表示约 2 倍杠杆。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需观察基金（合并层面，含比值 &gt;=1.5）：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55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158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215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情有可原（先写产品，再写指标；只列异常的指标）：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改进措施：SPPIX/SPPSX/UXPSX 列入观察名单，若波动继续上升再评估增加风险门槛；BLPIX/BLPSX 因合并比值 &gt;=1.5 保留在需观察；其余杠杆/反向产品波动高是基金本身特质，不删除。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&lt;=-2%/-2.5%/-3%，整个策略的平均回报和命中率应递增。以下全部按策略统计；多条件策略只调整被扫描的那个条件，其他子条件保持不变。4.1、4.2、4.3 使用同一份策略级阈值扫描结果。扫描范围已扩展到全部数值条件：包括 ETF/自身的 up/down（0 阈值）、big/gt/lt、外部 up/down/ge/le，以及连跌天数；以交付阈值为中心，同时扫描更松和更紧的阈值（例如原 VIX&gt;2，则 1/1.5/2/2.5/3 都计算）。共 563 组扫描（562 组数值阈值 + 1 组连跌天数），其中 479 组进入方向一致性统计（其余组有效阈值点不足 2 个）。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策略阈值扫描汇总（以交付阈值为中心，偏移为正表示更严格）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说明：偏移 0 即交付阈值。对 EEM&gt;0、JNK&lt;0 这类条件，交付阈值就是 0%；对 XLK&gt;=1%、VIX5d&gt;=10% 等，交付阈值是 1%、10% 等原数值。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负向阈值扫描（策略级，其余条件固定；同一策略调整不同条件计为不同策略）：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7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1193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994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817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323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286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214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正向阈值扫描（策略级，其余条件固定）：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7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653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0.298%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612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571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433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208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189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141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106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98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结论：负向策略在更严格一侧平均回报和命中率中位数整体仍小幅上升，但交易数明显下降，交付阈值是平衡点；正向策略在交付阈值附近平均回报最高，更严格后命中率略升、交易数下降。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按策略逐条统计阈值加深后的效果方向，同时看平均回报与命中率两个相关系数；任一指标相关系数 &lt; -0.5 即列入异常。全部 479 组可统计策略级阈值扫描中，负向策略平均回报中位数相关系数为 +0.79、命中率中位数为 +0.75；正向策略分别为 +0.48、+0.19。共 190 组异常策略（同一策略调整不同条件计为不同组）：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5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条件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调整条件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平均回报rho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命中率rho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异常指标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QQQ&lt;0 且 XLU&gt;0，买基金第二天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VIX5d&gt;=10.0%，买基金后2日平均回报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GVPSX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TLT&lt;0 且 该基金连续3日下跌，买基金第二天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SPY&lt;0 且 TIP&gt;0，买基金第二天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UXPSX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TIP&lt;0 且 TLT&lt;0，买基金后2日平均回报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信用利差&lt;0，买基金后2日平均回报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JNK&gt;0 且 QQQ&lt;0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JNK&gt;0 且 QQQ&lt;0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XLE&lt;0，买基金后2日平均回报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TIP&lt;0 且 XLC&lt;0，买基金后2日平均回报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XLF&lt;0 且 XLU&lt;0，买基金第二天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XLK&lt;0 且 股债相关&lt;0，买基金第二天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板块轮动&lt;0，买基金后2日平均回报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ext_usd_gold_ratio_down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SLV&lt;0 且 XLV&lt;0，买基金后3日平均回报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0.01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XLK&lt;=-1%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板块轮动&gt;0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板块轮动&gt;0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self_big_down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TLT&gt;0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XLK&lt;=-1%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self_big_down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SLV&gt;0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VIX5d&gt;0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LVPIX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 且 XLV&lt;0，买基金后3日平均回报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UUP&lt;0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LVPSX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TLT&lt;0 且 XLE&gt;0 且 XLU&lt;0，买基金后2日平均回报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TLT&lt;0 且 XLE&gt;0 且 XLU&lt;0，买基金后2日平均回报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QQQ&lt;0，买基金后2日平均回报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BITIX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JNK&gt;0 且 SPY&gt;0，买基金第二天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BITIX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XLC&gt;0 且 该基金当日回报&lt;0，买基金第二天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nan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nan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QQQ&lt;0 且 XLE&gt;0，买基金后2日平均回报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板块轮动&gt;0，买基金后3日平均回报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TLT&gt;0 且 XLU&gt;0，买基金第二天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GLD&lt;0 且 XLF&gt;0，买基金后2日平均回报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SPY&lt;0，买基金第二天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VIX5d&gt;0，买基金第二天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JNK&lt;0，买基金第二天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-0.38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SLV&gt;0 且 XLC&gt;0，买基金第二天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SLV&gt;0 且 XLC&gt;0，买基金第二天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UIPIX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XLC&gt;=1% 且 美元/黄金&lt;0，买基金后2日平均回报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XLC_big_up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XLC&lt;0，买基金第二天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IWM&gt;0 且 TIP&gt;0，买基金第二天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SLV&gt;0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MLPIX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MLPSX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VIX5d&gt;=10.0%，买基金后2日平均回报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MDPIX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XLC&lt;0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XLF&lt;0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板块轮动&gt;0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0.37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MGPSX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XLF&lt;0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0.48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0.63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 且 XLV&lt;0，买基金后3日平均回报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SLV&gt;=1% 且 该基金当日回报&lt;0，买基金后2日平均回报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SLV_big_up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0.97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0.99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TIP&gt;0，买基金第二天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XLE&lt;0 且 XLU&gt;0，买基金第二天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LQD&lt;0 且 XLK&lt;0，买基金后3日平均回报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IWM&gt;0 且 LQD&gt;0 且 SLV&lt;0，买基金第二天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异常类别概览（多 sheet Excel：v4_strategy_direction_categories.xlsx）：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异常类别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特征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触发阈值太少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有效阈值点不足 4 个，无法可靠判断趋势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末端反转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29.5%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平均回报先升后降，最后 1-2 个阈值明显回落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忽上忽下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阈值间方向频繁切换，无稳定趋势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整体反向单调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阈值越严格，平均回报持续下降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拐点先升后降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存在中间峰值，峰后趋势反转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异常策略数 &gt;=10，逐策略阈值明细改放 CSV：v4_strategy_direction_detail_v2.csv。改进措施：对这些异常策略不做“更深阈值”外推，优先保留交付阈值。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