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使用同一份策略级阈值扫描结果。为什么只有 33 组：231 条策略中只有 32 条含可调阈值/连跌条件（31 条数值阈值 + 1 条连跌天数），其中 CYPIX 同时有两个可调阈值条件，因此共 33 组；其余 199 条是 &gt;0/&lt;0 方向条件，没有可调数值，不参与扫描。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1041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606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240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63.0%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结论：负向和正向都在 -2%/+2% 附近达到平均回报中位数峰值，更深阈值不再单调上升；+2.5%/+3% 策略数很少，中位数参考意义有限。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33 组策略级阈值扫描中，负向策略平均回报中位数相关系数为 +0.73、命中率中位数为 +0.82；正向策略分别为 +0.90、+0.79。共 8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自身大跌阈值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XLC&gt;=1% 且 美元/黄金&lt;0，买基金后2日平均回报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逐策略展开如下（8 组 &lt; 10，故保留在文档内；多条件策略只调整被扫描条件，其余条件固定）：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BIPIX：SLV&gt;=1% 且 该基金当日回报&lt;0，买基金后2日平均回报（只调整 SLV 阈值，自身下跌固定）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451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 XLK）：XLK&lt;=-1%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0.641%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-0.388%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CYPIX（调整自身大跌）：XLK&lt;=-1%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361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-0.005%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UBPIX：QQQ&lt;=-1%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882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-0.422%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-1.864%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UBPSX：QQQ&lt;=-1%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-0.430%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-1.843%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UDPSX：QQQ&lt;=-1%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-0.057%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-0.274%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UIPIX：XLC&gt;=1% 且 美元/黄金&lt;0，买基金后2日平均回报（只调整 XLC 阈值，美元/黄金&lt;0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126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ULPIX：QQQ&lt;=-1%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改进措施：这 8 组异常策略不做“更深阈值”外推，当前 -1% 阈值反而更优；其余策略保持 -2% 固定阈值即可。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