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解释缺口检查：原机制对“承压却买入”的解释存在逻辑缺口（136/231 条）。已改为更合理的“风险冲击/防御落后后的次日均值回归”解释；修订后仅剩 7/231 条仍写“承压”，且全部是反向基金使用风险偏好条件的已知方向冲突问题。明细见 v4_explanation_weak_pressure.csv。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使用同一份策略级阈值扫描结果。扫描范围已扩展到全部数值条件：包括 ETF/自身的 up/down（0 阈值）、big/gt/lt、外部 up/down/ge/le，以及连跌天数；以交付阈值为中心，同时扫描更松和更紧的阈值（例如原 VIX&gt;2，则 1/1.5/2/2.5/3 都计算）。共 563 组扫描（562 组数值阈值 + 1 组连跌天数），全部进入方向一致性统计。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策略阈值扫描汇总（以交付阈值为中心，偏移为正表示更严格）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说明：偏移表示在原交付阈值基础上加减，并保留原条件的升/减方向。例如 EEM&gt;0 的偏移 +1 表示 EEM&gt;1%，QQQ&lt;0 的偏移 -1 表示 QQQ&lt;-1%；偏移 0 即交付阈值本身。对 EEM&gt;0、JNK&lt;0 这类条件，交付阈值就是 0%；对 XLK&gt;=1%、VIX5d&gt;=10% 等，交付阈值是 1%、10% 等原数值。某偏移下策略数偏少，是因为该偏移对应阈值下部分策略无法触发（有效交易数为 0 或数据不足），只有能触发且有数据的策略计入。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924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0.177%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1051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411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265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563 组策略级阈值扫描中，负向策略平均回报中位数相关系数为 +0.76、命中率中位数为 +0.63；正向策略分别为 +0.45、+0.02。共 209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XLF&gt;0，买基金后2日平均回报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TIP&gt;0 且 XLE&lt;0，买基金第二天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UUP&lt;0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JNK&lt;0，买基金第二天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HYG&lt;0 且 QQQ&lt;0 且 SLV&lt;0，买基金后2日平均回报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QQQ&lt;0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UUP&lt;0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SPY&lt;0 且 XLK&lt;0，买基金后3日平均回报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HYG&gt;0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JNK&lt;0 且 UUP&gt;0，买基金后2日平均回报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GLD&gt;0 且 XLC&gt;0，买基金后2日平均回报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ext_credit_spread_up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XLK&lt;0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GLD&gt;0 且 HYG&gt;0，买基金第二天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QQQ&lt;0 且 SLV&gt;0，买基金后2日平均回报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UUP&lt;0，买基金第二天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XLE&lt;0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XLE&lt;0 且 XLU&gt;0，买基金第二天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TIP&lt;0 且 UUP&gt;0，买基金第二天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UUP&gt;0 且 XLF&lt;0，买基金后3日平均回报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UWPSX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XLV&gt;0 且 XLC&lt;0，买基金第二天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异常类别概览（多 sheet Excel：v4_strategy_direction_categories.xlsx）：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触发阈值太少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45.5%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有效阈值点不足 4 个，无法可靠判断趋势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末端反转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平均回报先升后降，最后 1-2 个阈值明显回落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忽上忽下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阈值间方向频繁切换，无稳定趋势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整体反向单调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阈值越严格，平均回报持续下降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拐点先升后降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存在中间峰值，峰后趋势反转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异常策略数 &gt;=10，逐策略阈值明细改放 CSV：v4_strategy_direction_detail_v2.csv。改进措施：对这些异常策略不做“更深阈值”外推，优先保留交付阈值。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