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日期：2026-08-18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口径：m30_v2 正式版，103 支非货币基金、231 条策略；mapping 与 Excel、全部分析使用同一份当前 8/4 数据，mapping 与重算差异为 0。条件表述与正式 Excel 说明一致。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2026-08-04。严格重选指只用建模段数据重新选择策略，再用未参与建模的回测段数据回测，避免选策略时看过回测成绩。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1.1 现役 m30_v2 固定切分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&gt;=0.2%，没有基金在回测段掉出合格线，平均回报与命中率均高于建模段，未见样本外衰减。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需要从候选池补强或替换（同时展示全历史与 2025 后）：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后明显改善，暂不删除、继续观察：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全历史弱且波动高，2025后改善明显，按观察处理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全历史弱，2025后改善明显，按观察处理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说明：UDPSX、UIPSX 已移入观察名单。它们 2025 后平均回报 0.536%/0.526%、命中率 67.9%/60.5%，明显改善，但全历史平均回报与显著性仍偏弱，UDPSX 同时波动偏高，因此不直接删除，继续观察。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改进措施：优先用候选池中更显著的信号替换 UKPIX、UTPSX 两条训练弱策略；全历史弱但 2025 后明显的 8 条继续观察，不为了凑覆盖硬塞低质量信号。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条策略已逐条给出经济解释，输出列包括“触发条件”“条件解释”与“机制”，不含条件代码和历史统计；全部明细见 v4_strategy_explanation_v3.csv。机制列按“条件说明了什么 → 带来的市场影响 → 基金产品特征 → 为什么该基金上涨/下跌”四段式书写。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比特币基金解释受限（情有可原）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改进措施：反向基金优先替换为方向一致的条件，例如做空新兴市场用 EEM&lt;0、做空科技用 QQQ&lt;0 或 XLK&lt;0；若保留，须明确标注为均值回归逻辑并做样本外验证。比特币基金暂不处理，未来加入加密参考资产后优先重做。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2.3 同基金/同主题解释一致性检查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“基金”维度检查：没有同一基金在相同市场状态（风险偏好收缩/回暖）下同时出现“价格倾向上涨”和“价格倾向承压”的矛盾解释。按“主题”维度存在方向相反的结论，但原因是主题内同时包含多头与反向基金，例如中国主题既有 Ultra China 多头、也有 Ultra Short China 反向，风险偏好收缩时多头承压、反向产品上涨，属于产品属性，不是解释矛盾。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示例（银行金融类）：BKPIX/BKPSX 的两条解释分别是“风险偏好收缩时价格倾向承压”和“风险偏好回暖时价格倾向上涨”，属于不同市场状态下的互补结论，不构成矛盾。检查明细见 v4_explanation_conflict_check.csv。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产品命名说明：UltraSector = 2 倍杠杆行业基金；Ultra China/Japan/Latin America 等 = 2 倍杠杆地区/主题基金；UltraShort/Short = 反向（做空）产品；Bull/Bear = 多头/空头；带 Ultra 前缀一般表示约 2 倍杠杆。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需观察基金（合并层面，含比值 &gt;=1.5）：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55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158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215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情有可原（先写产品，再写指标；只列异常的指标）：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改进措施：SPPIX/SPPSX/UXPSX 列入观察名单，若波动继续上升再评估增加风险门槛；BLPIX/BLPSX 因合并比值 &gt;=1.5 保留在需观察；其余杠杆/反向产品波动高是基金本身特质，不删除。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&lt;=-2%/-2.5%/-3%，整个策略的平均回报和命中率应递增。以下全部按策略统计；多条件策略只调整被扫描的那个条件，其他子条件保持不变。4.1、4.2、4.3 使用同一份策略级阈值扫描结果。扫描范围已扩展到全部数值条件：包括 ETF/自身的 up/down（0 阈值）、big/gt/lt、外部 up/down/ge/le，以及连跌天数；以交付阈值为中心，同时扫描更松和更紧的阈值（例如原 VIX&gt;2，则 1/1.5/2/2.5/3 都计算）。共 140 组可计算方向一致性的策略级扫描。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策略阈值扫描汇总（以交付阈值为中心，偏移为正表示更严格）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负向阈值扫描（策略级，其余条件固定；同一策略调整不同条件计为不同策略）：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7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1193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994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817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264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98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136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94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136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正向阈值扫描（策略级，其余条件固定）：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7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653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0.298%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612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571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433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301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365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42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383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451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结论：负向和正向策略在“交付阈值”处平均回报中位数最高，更松或更紧都不会明显改善；收紧后交易数普遍下降。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按策略逐条统计阈值加深后的效果方向，同时看平均回报与命中率两个相关系数；任一指标相关系数 &lt; -0.5 即列入异常。全部 140 组策略级阈值扫描中，负向策略平均回报中位数相关系数为 +0.69、命中率中位数为 +0.40；正向策略分别为 +0.20、+0.50。共 59 组异常策略（同一策略调整不同条件计为不同组）：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5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条件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调整条件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平均回报rho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命中率rho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异常指标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VIX5d&gt;=10.0%，买基金后2日平均回报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GVPSX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TLT&lt;0 且 该基金连续3日下跌，买基金第二天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信用利差&lt;0，买基金后2日平均回报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XLK&lt;0 且 股债相关&lt;0，买基金第二天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板块轮动&lt;0，买基金后2日平均回报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ext_usd_gold_ratio_down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0.01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XLK&lt;=-1%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板块轮动&gt;0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板块轮动&gt;0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XLK&lt;=-1%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VIX5d&gt;0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LVPIX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LVPSX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BITIX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XLC&gt;0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板块轮动&gt;0，买基金后3日平均回报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VIX5d&gt;0，买基金第二天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UIPIX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XLC&gt;=1% 且 美元/黄金&lt;0，买基金后2日平均回报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XLC_big_up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VIX5d&gt;=10.0%，买基金后2日平均回报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板块轮动&gt;0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SLV&gt;=1% 且 该基金当日回报&lt;0，买基金后2日平均回报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SLV_big_up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异常策略数 &gt;=10，逐策略阈值明细改放 CSV：v4_strategy_direction_detail.csv。改进措施：对这些异常策略不做“更深阈值”外推，优先保留交付阈值。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