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06101F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r>
              <w:rPr>
                <w:b/>
                <w:bCs/>
                <w:color w:val="20D9FF"/>
                <w:sz w:val="18"/>
                <w:szCs w:val="18"/>
              </w:rPr>
              <w:t>PARCL · BUYER INTELLIGENCE</w:t>
            </w:r>
          </w:p>
          <w:p>
            <w:pPr>
              <w:spacing w:before="100"/>
            </w:pPr>
            <w:r>
              <w:rPr>
                <w:b/>
                <w:bCs/>
                <w:color w:val="FFFFFF"/>
                <w:sz w:val="34"/>
                <w:szCs w:val="34"/>
              </w:rPr>
              <w:t>Machine Learning-Based Buyer Segmentation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>Executive Summary</w:t>
            </w:r>
          </w:p>
          <w:p>
            <w:pPr>
              <w:spacing w:before="150"/>
            </w:pPr>
            <w:r>
              <w:rPr>
                <w:i/>
                <w:iCs/>
                <w:color w:val="94A3B8"/>
                <w:sz w:val="20"/>
                <w:szCs w:val="20"/>
              </w:rPr>
              <w:t>Prepared for Parcl Co. Limited  |  Unified Mentor Program  |  September 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>The Problem, in One Line</w:t>
      </w:r>
    </w:p>
    <w:p>
      <w:pPr>
        <w:spacing w:after="120"/>
      </w:pPr>
      <w:r>
        <w:t>Parcl treats a highly diverse buyer base as one undifferentiated group, leading to inefficient marketing, generic property recommendations, and missed investment opportunities.</w:t>
      </w:r>
    </w:p>
    <w:p>
      <w:pPr>
        <w:pStyle w:val="Heading1"/>
        <w:spacing w:after="120" w:before="240"/>
      </w:pPr>
      <w:r>
        <w:t>What We Did</w:t>
      </w:r>
    </w:p>
    <w:p>
      <w:pPr>
        <w:spacing w:after="120"/>
      </w:pPr>
      <w:r>
        <w:t>Applied unsupervised machine learning (K-Means, validated against Hierarchical clustering) to 2,000 clients and 10,000 property transactions to discover the buyer segments that genuinely exist in Parcl's data — rather than assuming the four segments named in the original project brief.</w:t>
      </w:r>
    </w:p>
    <w:p>
      <w:pPr>
        <w:pStyle w:val="Heading1"/>
        <w:spacing w:after="120" w:before="240"/>
      </w:pPr>
      <w:r>
        <w:t>Key Numbers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100"/>
            <w:shd w:fill="F1F5F9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7CFF"/>
                <w:sz w:val="32"/>
                <w:szCs w:val="32"/>
              </w:rPr>
              <w:t>2,000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>Clients Analyzed</w:t>
            </w:r>
          </w:p>
        </w:tc>
        <w:tc>
          <w:tcPr>
            <w:tcW w:type="dxa" w:w="3100"/>
            <w:shd w:fill="F1F5F9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0A374"/>
                <w:sz w:val="32"/>
                <w:szCs w:val="32"/>
              </w:rPr>
              <w:t>10,000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>Transactions</w:t>
            </w:r>
          </w:p>
        </w:tc>
        <w:tc>
          <w:tcPr>
            <w:tcW w:type="dxa" w:w="3100"/>
            <w:shd w:fill="F1F5F9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7706"/>
                <w:sz w:val="32"/>
                <w:szCs w:val="32"/>
              </w:rPr>
              <w:t>4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>Segments Found</w:t>
            </w:r>
          </w:p>
        </w:tc>
        <w:tc>
          <w:tcPr>
            <w:tcW w:type="dxa" w:w="3100"/>
            <w:shd w:fill="F1F5F9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3AED"/>
                <w:sz w:val="32"/>
                <w:szCs w:val="32"/>
              </w:rPr>
              <w:t>7</w:t>
            </w:r>
          </w:p>
          <w:p>
            <w:pPr>
              <w:jc w:val="center"/>
            </w:pPr>
            <w:r>
              <w:rPr>
                <w:color w:val="64748B"/>
                <w:sz w:val="16"/>
                <w:szCs w:val="16"/>
              </w:rPr>
              <w:t>Dashboard Pages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>The Four Segments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4F7CFF" w:color="auto" w:val="clear"/>
          </w:tcPr>
          <w:p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type="dxa" w:w="1800"/>
            <w:shd w:fill="4F7CFF" w:color="auto" w:val="clear"/>
          </w:tcPr>
          <w:p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type="dxa" w:w="5400"/>
            <w:shd w:fill="4F7CFF" w:color="auto" w:val="clear"/>
          </w:tcPr>
          <w:p>
            <w:r>
              <w:rPr>
                <w:b/>
                <w:bCs/>
                <w:color w:val="FFFFFF"/>
              </w:rPr>
              <w:t>Recommended Action</w:t>
            </w:r>
          </w:p>
        </w:tc>
      </w:tr>
      <w:tr>
        <w:tc>
          <w:p>
            <w:r>
              <w:t>Value-Conscious Home Buyers</w:t>
            </w:r>
          </w:p>
        </w:tc>
        <w:tc>
          <w:p>
            <w:r>
              <w:t>812 (41%)</w:t>
            </w:r>
          </w:p>
        </w:tc>
        <w:tc>
          <w:p>
            <w:r>
              <w:t>Affordability messaging, starter-buyer financing</w:t>
            </w:r>
          </w:p>
        </w:tc>
      </w:tr>
      <w:tr>
        <w:tc>
          <w:p>
            <w:r>
              <w:t>High-Volume / Frequent Buyers</w:t>
            </w:r>
          </w:p>
        </w:tc>
        <w:tc>
          <w:p>
            <w:r>
              <w:t>640 (32%)</w:t>
            </w:r>
          </w:p>
        </w:tc>
        <w:tc>
          <w:p>
            <w:r>
              <w:t>Loyalty incentives, early access to new listings</w:t>
            </w:r>
          </w:p>
        </w:tc>
      </w:tr>
      <w:tr>
        <w:tc>
          <w:p>
            <w:r>
              <w:t>Premium / High-Value Buyers</w:t>
            </w:r>
          </w:p>
        </w:tc>
        <w:tc>
          <w:p>
            <w:r>
              <w:t>446 (22%)</w:t>
            </w:r>
          </w:p>
        </w:tc>
        <w:tc>
          <w:p>
            <w:r>
              <w:t>Exclusivity and white-glove service, not discounts</w:t>
            </w:r>
          </w:p>
        </w:tc>
      </w:tr>
      <w:tr>
        <w:tc>
          <w:p>
            <w:r>
              <w:t>Corporate Buyers</w:t>
            </w:r>
          </w:p>
        </w:tc>
        <w:tc>
          <w:p>
            <w:r>
              <w:t>102 (5%)</w:t>
            </w:r>
          </w:p>
        </w:tc>
        <w:tc>
          <w:p>
            <w:r>
              <w:t>Dedicated B2B sales motion, bulk/multi-unit packages</w:t>
            </w:r>
          </w:p>
        </w:tc>
      </w:tr>
    </w:tbl>
    <w:p>
      <w:pPr>
        <w:spacing w:after="200"/>
      </w:pPr>
    </w:p>
    <w:p>
      <w:pPr>
        <w:spacing w:after="160"/>
        <w:jc w:val="center"/>
      </w:pPr>
      <w:r/>
    </w:p>
    <w:p>
      <w:pPr>
        <w:pStyle w:val="Heading1"/>
        <w:spacing w:after="120" w:before="240"/>
      </w:pPr>
      <w:r>
        <w:t>What Makes This Credible</w:t>
      </w:r>
    </w:p>
    <w:p>
      <w:pPr>
        <w:pStyle w:val="ListParagraph"/>
        <w:numPr>
          <w:ilvl w:val="0"/>
          <w:numId w:val="1"/>
        </w:numPr>
        <w:spacing w:after="70"/>
      </w:pPr>
      <w:r>
        <w:t>Segments were named from what the data actually showed, not forced into the brief's assumed labels (Global Investors, First-Time Buyers, Luxury Investors).</w:t>
      </w:r>
    </w:p>
    <w:p>
      <w:pPr>
        <w:pStyle w:val="ListParagraph"/>
        <w:numPr>
          <w:ilvl w:val="0"/>
          <w:numId w:val="1"/>
        </w:numPr>
        <w:spacing w:after="70"/>
      </w:pPr>
      <w:r>
        <w:t>Validated three ways: Elbow Method, Silhouette Score, and cross-checked against an independent Hierarchical clustering algorithm.</w:t>
      </w:r>
    </w:p>
    <w:p>
      <w:pPr>
        <w:pStyle w:val="ListParagraph"/>
        <w:numPr>
          <w:ilvl w:val="0"/>
          <w:numId w:val="1"/>
        </w:numPr>
        <w:spacing w:after="70"/>
      </w:pPr>
      <w:r>
        <w:t>Stress-tested: 6 random seeds, 10 bootstrap resamples, and the project brief's own literal encoding method tested directly for comparison.</w:t>
      </w:r>
    </w:p>
    <w:p>
      <w:pPr>
        <w:pStyle w:val="ListParagraph"/>
        <w:numPr>
          <w:ilvl w:val="0"/>
          <w:numId w:val="1"/>
        </w:numPr>
        <w:spacing w:after="70"/>
      </w:pPr>
      <w:r>
        <w:t>Delivered live: a 7-page interactive Streamlit dashboard with filters by country, region, purpose, and client type — not static slides.</w:t>
      </w:r>
    </w:p>
    <w:p>
      <w:pPr>
        <w:pStyle w:val="Heading1"/>
        <w:spacing w:after="120" w:before="240"/>
      </w:pPr>
      <w:r>
        <w:t>Stated Honestly, Not Oversold</w:t>
      </w:r>
    </w:p>
    <w:p>
      <w:pPr>
        <w:spacing w:after="120"/>
      </w:pPr>
      <w:r>
        <w:rPr>
          <w:i/>
          <w:iCs/>
          <w:color w:val="64748B"/>
        </w:rPr>
        <w:t>Clustering quality (silhouette 0.12–0.15) is modest — buyer behavior in this dataset varies continuously rather than in sharp groups. This is disclosed throughout the full research paper and dashboard rather than hidden. The four segments are a useful, evidence-based business simplification of that behavior, not a claim of perfectly separated customer types.</w:t>
      </w:r>
    </w:p>
    <w:p>
      <w:pPr>
        <w:pStyle w:val="Heading1"/>
        <w:spacing w:after="120" w:before="240"/>
      </w:pPr>
      <w:r>
        <w:t>Bottom Line</w:t>
      </w:r>
    </w:p>
    <w:p>
      <w:pPr>
        <w:spacing w:after="120"/>
      </w:pPr>
      <w:r>
        <w:t>A concrete, evidence-based targeting framework Parcl can act on today — with every number traceable back to runnable code, not asserted. Full technical detail, methodology, and limitations are in the accompanying research paper.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b/>
        <w:bCs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jc w:val="right"/>
    </w:pPr>
    <w:r>
      <w:rPr>
        <w:i/>
        <w:iCs/>
        <w:color w:val="64748B"/>
        <w:sz w:val="16"/>
        <w:szCs w:val="16"/>
      </w:rPr>
      <w:t xml:space="preserve">Executive Summary  |  Parcl Co. Limited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8450211eeefb7a9b4d22b585a4dad6f17e5a92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2026-09-17T08:09:21.004Z</dcterms:created>
  <dcterms:modified xsi:type="dcterms:W3CDTF">2026-09-17T08:09:21.004Z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