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User &amp; Account Analytics (B)</w:t>
      </w:r>
    </w:p>
    <w:p>
      <w:pPr>
        <w:spacing w:after="80"/>
      </w:pPr>
      <w:r>
        <w:rPr>
          <w:b w:val="0"/>
          <w:i w:val="0"/>
        </w:rPr>
        <w:t>Stable identifiers needed (B1):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Identifier</w:t>
            </w:r>
          </w:p>
        </w:tc>
        <w:tc>
          <w:tcPr>
            <w:tcW w:type="dxa" w:w="703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Why needed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user_id</w:t>
            </w:r>
          </w:p>
        </w:tc>
        <w:tc>
          <w:tcPr>
            <w:tcW w:type="dxa" w:w="7030"/>
          </w:tcPr>
          <w:p>
            <w:r/>
            <w:r>
              <w:rPr>
                <w:sz w:val="15"/>
              </w:rPr>
              <w:t>Immutable, non-personal key joining every entity; must never be email or name</w:t>
            </w:r>
          </w:p>
        </w:tc>
      </w:tr>
      <w:tr>
        <w:tc>
          <w:tcPr>
            <w:tcW w:type="dxa" w:w="2835"/>
            <w:shd w:val="clear" w:color="auto" w:fill="F2F6FB"/>
          </w:tcPr>
          <w:p>
            <w:r/>
            <w:r>
              <w:rPr>
                <w:sz w:val="15"/>
              </w:rPr>
              <w:t>event_id</w:t>
            </w:r>
          </w:p>
        </w:tc>
        <w:tc>
          <w:tcPr>
            <w:tcW w:type="dxa" w:w="7030"/>
            <w:shd w:val="clear" w:color="auto" w:fill="F2F6FB"/>
          </w:tcPr>
          <w:p>
            <w:r/>
            <w:r>
              <w:rPr>
                <w:sz w:val="15"/>
              </w:rPr>
              <w:t>De-duplicates replayed events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session_id</w:t>
            </w:r>
          </w:p>
        </w:tc>
        <w:tc>
          <w:tcPr>
            <w:tcW w:type="dxa" w:w="7030"/>
          </w:tcPr>
          <w:p>
            <w:r/>
            <w:r>
              <w:rPr>
                <w:sz w:val="15"/>
              </w:rPr>
              <w:t>Groups events into a visit; existence unverified (A004)</w:t>
            </w:r>
          </w:p>
        </w:tc>
      </w:tr>
      <w:tr>
        <w:tc>
          <w:tcPr>
            <w:tcW w:type="dxa" w:w="2835"/>
            <w:shd w:val="clear" w:color="auto" w:fill="F2F6FB"/>
          </w:tcPr>
          <w:p>
            <w:r/>
            <w:r>
              <w:rPr>
                <w:sz w:val="15"/>
              </w:rPr>
              <w:t>transaction_id</w:t>
            </w:r>
          </w:p>
        </w:tc>
        <w:tc>
          <w:tcPr>
            <w:tcW w:type="dxa" w:w="7030"/>
            <w:shd w:val="clear" w:color="auto" w:fill="F2F6FB"/>
          </w:tcPr>
          <w:p>
            <w:r/>
            <w:r>
              <w:rPr>
                <w:sz w:val="15"/>
              </w:rPr>
              <w:t>Reconciles and de-duplicates wallet entries; links reversals (A009)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task_activity_id / reward_id / withdrawal_id / referral_id</w:t>
            </w:r>
          </w:p>
        </w:tc>
        <w:tc>
          <w:tcPr>
            <w:tcW w:type="dxa" w:w="7030"/>
          </w:tcPr>
          <w:p>
            <w:r/>
            <w:r>
              <w:rPr>
                <w:sz w:val="15"/>
              </w:rPr>
              <w:t>One id per attempt, reward, request and referral so each lifecycle can be traced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The user analytics specification (B2) lists every Users field with type, required flag, purpose, source, validation and status (workbook sheet 6). Two fields, full_name and email, are deliberately excluded from the analytics layer: no KPI needs them, and the brief asks not to request unnecessary personal information. Where de-duplication is needed, a one-way hash of the email can be used.</w:t>
      </w:r>
    </w:p>
    <w:p>
      <w:pPr>
        <w:spacing w:after="80"/>
      </w:pPr>
      <w:r>
        <w:rPr>
          <w:b w:val="0"/>
          <w:i w:val="0"/>
        </w:rPr>
        <w:t>Lifecycle measurement: registration (user_registered), email verification (email_verified), first login and returns (user_logged_in), onboarding (started/completed; step milestones await A026) and account status changes (account_status_changed with old status, new status, reason category and actor type).</w:t>
      </w:r>
    </w:p>
    <w:p>
      <w:pPr>
        <w:pStyle w:val="Heading2"/>
      </w:pPr>
      <w:r>
        <w:t>Simulated observations (Task 01 Users, 1,000 rows)</w:t>
      </w:r>
    </w:p>
    <w:p>
      <w:pPr>
        <w:spacing w:after="80"/>
      </w:pPr>
      <w:r>
        <w:rPr>
          <w:b w:val="0"/>
          <w:i w:val="0"/>
        </w:rPr>
        <w:t>In the simulated dataset: 855 of 1,000 users (85.5%) are Verified; 722 (72.2%) completed onboarding; 77 (7.7%) are Suspended; 923 (92.3%) accepted consent; Android is the primary device for 659 users (65.9%) and platform is Web for all. These figures illustrate that the KPIs can be computed; they are not VELOOP results.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