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 Privacy, Access and Governance (P)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759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Access (Proposed)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5"/>
              </w:rPr>
              <w:t>Engineering</w:t>
            </w:r>
          </w:p>
        </w:tc>
        <w:tc>
          <w:tcPr>
            <w:tcW w:type="dxa" w:w="7597"/>
          </w:tcPr>
          <w:p>
            <w:r/>
            <w:r>
              <w:rPr>
                <w:sz w:val="15"/>
              </w:rPr>
              <w:t>Technical event implementation and raw-layer troubleshooting; no routine access to business reports needing personal data</w:t>
            </w:r>
          </w:p>
        </w:tc>
      </w:tr>
      <w:tr>
        <w:tc>
          <w:tcPr>
            <w:tcW w:type="dxa" w:w="2268"/>
            <w:shd w:val="clear" w:color="auto" w:fill="F2F6FB"/>
          </w:tcPr>
          <w:p>
            <w:r/>
            <w:r>
              <w:rPr>
                <w:sz w:val="15"/>
              </w:rPr>
              <w:t>Data Analyst</w:t>
            </w:r>
          </w:p>
        </w:tc>
        <w:tc>
          <w:tcPr>
            <w:tcW w:type="dxa" w:w="7597"/>
            <w:shd w:val="clear" w:color="auto" w:fill="F2F6FB"/>
          </w:tcPr>
          <w:p>
            <w:r/>
            <w:r>
              <w:rPr>
                <w:sz w:val="15"/>
              </w:rPr>
              <w:t>Approved analytical datasets with pseudonymous IDs; hashed email only if required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5"/>
              </w:rPr>
              <w:t>Product / Operations</w:t>
            </w:r>
          </w:p>
        </w:tc>
        <w:tc>
          <w:tcPr>
            <w:tcW w:type="dxa" w:w="7597"/>
          </w:tcPr>
          <w:p>
            <w:r/>
            <w:r>
              <w:rPr>
                <w:sz w:val="15"/>
              </w:rPr>
              <w:t>Aggregated business reporting and dashboards; row-level views only for operational cases</w:t>
            </w:r>
          </w:p>
        </w:tc>
      </w:tr>
      <w:tr>
        <w:tc>
          <w:tcPr>
            <w:tcW w:type="dxa" w:w="2268"/>
            <w:shd w:val="clear" w:color="auto" w:fill="F2F6FB"/>
          </w:tcPr>
          <w:p>
            <w:r/>
            <w:r>
              <w:rPr>
                <w:sz w:val="15"/>
              </w:rPr>
              <w:t>Content Team</w:t>
            </w:r>
          </w:p>
        </w:tc>
        <w:tc>
          <w:tcPr>
            <w:tcW w:type="dxa" w:w="7597"/>
            <w:shd w:val="clear" w:color="auto" w:fill="F2F6FB"/>
          </w:tcPr>
          <w:p>
            <w:r/>
            <w:r>
              <w:rPr>
                <w:sz w:val="15"/>
              </w:rPr>
              <w:t>Aggregated content/help performance only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5"/>
              </w:rPr>
              <w:t>Finance</w:t>
            </w:r>
          </w:p>
        </w:tc>
        <w:tc>
          <w:tcPr>
            <w:tcW w:type="dxa" w:w="7597"/>
          </w:tcPr>
          <w:p>
            <w:r/>
            <w:r>
              <w:rPr>
                <w:sz w:val="15"/>
              </w:rPr>
              <w:t>Wallet and withdrawal aggregates and reconciliation reports</w:t>
            </w:r>
          </w:p>
        </w:tc>
      </w:tr>
      <w:tr>
        <w:tc>
          <w:tcPr>
            <w:tcW w:type="dxa" w:w="2268"/>
            <w:shd w:val="clear" w:color="auto" w:fill="F2F6FB"/>
          </w:tcPr>
          <w:p>
            <w:r/>
            <w:r>
              <w:rPr>
                <w:sz w:val="15"/>
              </w:rPr>
              <w:t>Intern</w:t>
            </w:r>
          </w:p>
        </w:tc>
        <w:tc>
          <w:tcPr>
            <w:tcW w:type="dxa" w:w="7597"/>
            <w:shd w:val="clear" w:color="auto" w:fill="F2F6FB"/>
          </w:tcPr>
          <w:p>
            <w:r/>
            <w:r>
              <w:rPr>
                <w:sz w:val="15"/>
              </w:rPr>
              <w:t>Only approved, sanitised, clearly labelled datasets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Information that must not be unnecessarily exposed or stored in analytics: passwords, authentication secrets, API keys, payment credentials, private credentials, sensitive security controls and fraud thresholds. Other principles: data minimisation (full_name and email excluded from the analytics layer), role-based access, simulated and production data never mixed, consent respected (marketing opt-in only with consent Accepted, QC-17), retention period to be decided (A025).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 xml:space="preserve">Iqra Siddiqui (VLRINT202601918)  |  v1.0, 7 Oct 2026  |  Page </w:t>
    </w:r>
    <w:r>
      <w:rPr>
        <w:sz w:val="15"/>
      </w:rPr>
      <w:fldChar w:fldCharType="begin"/>
    </w:r>
    <w:r>
      <w:rPr>
        <w:sz w:val="15"/>
      </w:rPr>
      <w:instrText xml:space="preserve"> PAGE </w:instrText>
    </w:r>
    <w:r>
      <w:rPr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F0000"/>
        <w:sz w:val="15"/>
      </w:rPr>
      <w:t>SIMULATED DATA - NOT ACTUAL VELOOP DATA   |   VELOOP Rewards - Data Analyst Internship Task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