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Analytics Readiness and Gap Assessment (R)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Design (0-5)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Verified (0-5)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Gap priority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Event coverage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Critical</w:t>
            </w:r>
          </w:p>
        </w:tc>
        <w:tc>
          <w:tcPr>
            <w:tcW w:type="dxa" w:w="4649"/>
          </w:tcPr>
          <w:p>
            <w:r/>
            <w:r>
              <w:rPr>
                <w:sz w:val="15"/>
              </w:rPr>
              <w:t>Without verified events no production KPI can be produced.</w:t>
            </w:r>
          </w:p>
        </w:tc>
      </w:tr>
      <w:tr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Data model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5"/>
              </w:rPr>
              <w:t>Critical</w:t>
            </w:r>
          </w:p>
        </w:tc>
        <w:tc>
          <w:tcPr>
            <w:tcW w:type="dxa" w:w="4649"/>
            <w:shd w:val="clear" w:color="auto" w:fill="F2F6FB"/>
          </w:tcPr>
          <w:p>
            <w:r/>
            <w:r>
              <w:rPr>
                <w:sz w:val="15"/>
              </w:rPr>
              <w:t>Wallet transaction_id and referral linkage unverified.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Data dictionary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4649"/>
          </w:tcPr>
          <w:p>
            <w:r/>
            <w:r>
              <w:rPr>
                <w:sz w:val="15"/>
              </w:rPr>
              <w:t>Dictionary must be reconciled with the real schema.</w:t>
            </w:r>
          </w:p>
        </w:tc>
      </w:tr>
      <w:tr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KPI definitions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4649"/>
            <w:shd w:val="clear" w:color="auto" w:fill="F2F6FB"/>
          </w:tcPr>
          <w:p>
            <w:r/>
            <w:r>
              <w:rPr>
                <w:sz w:val="15"/>
              </w:rPr>
              <w:t>Many KPIs depend on tables not supplied (J3).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Data quality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4649"/>
          </w:tcPr>
          <w:p>
            <w:r/>
            <w:r>
              <w:rPr>
                <w:sz w:val="15"/>
              </w:rPr>
              <w:t>Duplicates and malformed dates exist in sample.</w:t>
            </w:r>
          </w:p>
        </w:tc>
      </w:tr>
      <w:tr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Dashboard readiness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4649"/>
            <w:shd w:val="clear" w:color="auto" w:fill="F2F6FB"/>
          </w:tcPr>
          <w:p>
            <w:r/>
            <w:r>
              <w:rPr>
                <w:sz w:val="15"/>
              </w:rPr>
              <w:t>Cannot be built until data layer exists.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Engineering instrumentation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Critical</w:t>
            </w:r>
          </w:p>
        </w:tc>
        <w:tc>
          <w:tcPr>
            <w:tcW w:type="dxa" w:w="4649"/>
          </w:tcPr>
          <w:p>
            <w:r/>
            <w:r>
              <w:rPr>
                <w:sz w:val="15"/>
              </w:rPr>
              <w:t>Instrumentation determines everything else.</w:t>
            </w:r>
          </w:p>
        </w:tc>
      </w:tr>
      <w:tr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Access control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4649"/>
            <w:shd w:val="clear" w:color="auto" w:fill="F2F6FB"/>
          </w:tcPr>
          <w:p>
            <w:r/>
            <w:r>
              <w:rPr>
                <w:sz w:val="15"/>
              </w:rPr>
              <w:t>Minimise personal data in analytics layer.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Documentation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4649"/>
          </w:tcPr>
          <w:p>
            <w:r/>
            <w:r>
              <w:rPr>
                <w:sz w:val="15"/>
              </w:rPr>
              <w:t>Needs ownership and review cadence.</w:t>
            </w:r>
          </w:p>
        </w:tc>
      </w:tr>
      <w:tr>
        <w:tc>
          <w:tcPr>
            <w:tcW w:type="dxa" w:w="2041"/>
            <w:shd w:val="clear" w:color="auto" w:fill="F2F6FB"/>
          </w:tcPr>
          <w:p>
            <w:r/>
            <w:r>
              <w:rPr>
                <w:sz w:val="15"/>
              </w:rPr>
              <w:t>Reporting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2F6FB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4649"/>
            <w:shd w:val="clear" w:color="auto" w:fill="F2F6FB"/>
          </w:tcPr>
          <w:p>
            <w:r/>
            <w:r>
              <w:rPr>
                <w:sz w:val="15"/>
              </w:rPr>
              <w:t>Depends on pipeline.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Scoring note: "Design" rates how complete this project's specifications are (average 3.3). "Verified" rates what is confirmed in production (0, because no production evidence was supplied). Priorities are justified, for example: Critical - without a stable transaction ID, reliable wallet transaction deduplication cannot be guaranteed.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