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21 Implementation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494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Reason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Stage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4"/>
              </w:rPr>
              <w:t>Critical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Stable, immutable user_id issued at registration</w:t>
            </w:r>
          </w:p>
        </w:tc>
        <w:tc>
          <w:tcPr>
            <w:tcW w:type="dxa" w:w="2494"/>
          </w:tcPr>
          <w:p>
            <w:r/>
            <w:r>
              <w:rPr>
                <w:sz w:val="14"/>
              </w:rPr>
              <w:t>Cross-event analysis (A002)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Authentication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Critical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Unique event_id with idempotent writes</w:t>
            </w:r>
          </w:p>
        </w:tc>
        <w:tc>
          <w:tcPr>
            <w:tcW w:type="dxa" w:w="2494"/>
            <w:shd w:val="clear" w:color="auto" w:fill="F2F6FB"/>
          </w:tcPr>
          <w:p>
            <w:r/>
            <w:r>
              <w:rPr>
                <w:sz w:val="14"/>
              </w:rPr>
              <w:t>Duplicate events inflate KPIs (10 duplicates in sample audit)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4"/>
              </w:rPr>
              <w:t>Event service</w:t>
            </w:r>
          </w:p>
        </w:tc>
        <w:tc>
          <w:tcPr>
            <w:tcW w:type="dxa" w:w="1247"/>
            <w:shd w:val="clear" w:color="auto" w:fill="F2F6FB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4"/>
              </w:rPr>
              <w:t>Critical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Wallet transaction_id and append-only ledger</w:t>
            </w:r>
          </w:p>
        </w:tc>
        <w:tc>
          <w:tcPr>
            <w:tcW w:type="dxa" w:w="2494"/>
          </w:tcPr>
          <w:p>
            <w:r/>
            <w:r>
              <w:rPr>
                <w:sz w:val="14"/>
              </w:rPr>
              <w:t>Reconciliation and deduplication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Wallet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Critical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Referral table with referrer and referred IDs and stage timestamps</w:t>
            </w:r>
          </w:p>
        </w:tc>
        <w:tc>
          <w:tcPr>
            <w:tcW w:type="dxa" w:w="2494"/>
            <w:shd w:val="clear" w:color="auto" w:fill="F2F6FB"/>
          </w:tcPr>
          <w:p>
            <w:r/>
            <w:r>
              <w:rPr>
                <w:sz w:val="14"/>
              </w:rPr>
              <w:t>Referral conversion cannot be computed otherwise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4"/>
              </w:rPr>
              <w:t>Registration, Referral</w:t>
            </w:r>
          </w:p>
        </w:tc>
        <w:tc>
          <w:tcPr>
            <w:tcW w:type="dxa" w:w="1247"/>
            <w:shd w:val="clear" w:color="auto" w:fill="F2F6FB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4"/>
              </w:rPr>
              <w:t>Critical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Withdrawal lifecycle with requested, processing, final timestamps</w:t>
            </w:r>
          </w:p>
        </w:tc>
        <w:tc>
          <w:tcPr>
            <w:tcW w:type="dxa" w:w="2494"/>
          </w:tcPr>
          <w:p>
            <w:r/>
            <w:r>
              <w:rPr>
                <w:sz w:val="14"/>
              </w:rPr>
              <w:t>Processing-time and queue KPIs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Withdrawals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Critical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Emit task_started / task_completed / task_failed events</w:t>
            </w:r>
          </w:p>
        </w:tc>
        <w:tc>
          <w:tcPr>
            <w:tcW w:type="dxa" w:w="2494"/>
            <w:shd w:val="clear" w:color="auto" w:fill="F2F6FB"/>
          </w:tcPr>
          <w:p>
            <w:r/>
            <w:r>
              <w:rPr>
                <w:sz w:val="14"/>
              </w:rPr>
              <w:t>Core earning analytics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4"/>
              </w:rPr>
              <w:t>Tasks</w:t>
            </w:r>
          </w:p>
        </w:tc>
        <w:tc>
          <w:tcPr>
            <w:tcW w:type="dxa" w:w="1247"/>
            <w:shd w:val="clear" w:color="auto" w:fill="F2F6FB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4"/>
              </w:rPr>
              <w:t>Critical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Emit reward_credited linked to ledger entry</w:t>
            </w:r>
          </w:p>
        </w:tc>
        <w:tc>
          <w:tcPr>
            <w:tcW w:type="dxa" w:w="2494"/>
          </w:tcPr>
          <w:p>
            <w:r/>
            <w:r>
              <w:rPr>
                <w:sz w:val="14"/>
              </w:rPr>
              <w:t>Separate activity from credit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Rewards, Wallet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Account Status History table</w:t>
            </w:r>
          </w:p>
        </w:tc>
        <w:tc>
          <w:tcPr>
            <w:tcW w:type="dxa" w:w="2494"/>
            <w:shd w:val="clear" w:color="auto" w:fill="F2F6FB"/>
          </w:tcPr>
          <w:p>
            <w:r/>
            <w:r>
              <w:rPr>
                <w:sz w:val="14"/>
              </w:rPr>
              <w:t>Separate pre/post suspension activity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4"/>
              </w:rPr>
              <w:t>Accounts</w:t>
            </w:r>
          </w:p>
        </w:tc>
        <w:tc>
          <w:tcPr>
            <w:tcW w:type="dxa" w:w="1247"/>
            <w:shd w:val="clear" w:color="auto" w:fill="F2F6FB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Session identifier and session end rule</w:t>
            </w:r>
          </w:p>
        </w:tc>
        <w:tc>
          <w:tcPr>
            <w:tcW w:type="dxa" w:w="2494"/>
          </w:tcPr>
          <w:p>
            <w:r/>
            <w:r>
              <w:rPr>
                <w:sz w:val="14"/>
              </w:rPr>
              <w:t>Funnels and session KPIs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Frontend/Backend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Approved enum lists (failure_category, reason_category, unit, method)</w:t>
            </w:r>
          </w:p>
        </w:tc>
        <w:tc>
          <w:tcPr>
            <w:tcW w:type="dxa" w:w="2494"/>
            <w:shd w:val="clear" w:color="auto" w:fill="F2F6FB"/>
          </w:tcPr>
          <w:p>
            <w:r/>
            <w:r>
              <w:rPr>
                <w:sz w:val="14"/>
              </w:rPr>
              <w:t>Prevents free-text drift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4"/>
              </w:rPr>
              <w:t>Product decisions</w:t>
            </w:r>
          </w:p>
        </w:tc>
        <w:tc>
          <w:tcPr>
            <w:tcW w:type="dxa" w:w="1247"/>
            <w:shd w:val="clear" w:color="auto" w:fill="F2F6FB"/>
          </w:tcPr>
          <w:p>
            <w:r/>
            <w:r>
              <w:rPr>
                <w:sz w:val="14"/>
              </w:rPr>
              <w:t>Product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Timezone standard (UTC storage, IST reporting if needed)</w:t>
            </w:r>
          </w:p>
        </w:tc>
        <w:tc>
          <w:tcPr>
            <w:tcW w:type="dxa" w:w="2494"/>
          </w:tcPr>
          <w:p>
            <w:r/>
            <w:r>
              <w:rPr>
                <w:sz w:val="14"/>
              </w:rPr>
              <w:t>Day-boundary KPIs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Event service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Confirm eligibility rules for pending and suspended accounts</w:t>
            </w:r>
          </w:p>
        </w:tc>
        <w:tc>
          <w:tcPr>
            <w:tcW w:type="dxa" w:w="2494"/>
            <w:shd w:val="clear" w:color="auto" w:fill="F2F6FB"/>
          </w:tcPr>
          <w:p>
            <w:r/>
            <w:r>
              <w:rPr>
                <w:sz w:val="14"/>
              </w:rPr>
              <w:t>Resolves DQ-017, DQ-026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4"/>
              </w:rPr>
              <w:t>Policy</w:t>
            </w:r>
          </w:p>
        </w:tc>
        <w:tc>
          <w:tcPr>
            <w:tcW w:type="dxa" w:w="1247"/>
            <w:shd w:val="clear" w:color="auto" w:fill="F2F6FB"/>
          </w:tcPr>
          <w:p>
            <w:r/>
            <w:r>
              <w:rPr>
                <w:sz w:val="14"/>
              </w:rPr>
              <w:t>Product / Operations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Raw layer + validation job + quarantine table</w:t>
            </w:r>
          </w:p>
        </w:tc>
        <w:tc>
          <w:tcPr>
            <w:tcW w:type="dxa" w:w="2494"/>
          </w:tcPr>
          <w:p>
            <w:r/>
            <w:r>
              <w:rPr>
                <w:sz w:val="14"/>
              </w:rPr>
              <w:t>Quality controls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Storage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Data / Engineering</w:t>
            </w:r>
          </w:p>
        </w:tc>
        <w:tc>
          <w:tcPr>
            <w:tcW w:type="dxa" w:w="907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Publish KPI definitions and DAU qualifying-event list</w:t>
            </w:r>
          </w:p>
        </w:tc>
        <w:tc>
          <w:tcPr>
            <w:tcW w:type="dxa" w:w="2494"/>
            <w:shd w:val="clear" w:color="auto" w:fill="F2F6FB"/>
          </w:tcPr>
          <w:p>
            <w:r/>
            <w:r>
              <w:rPr>
                <w:sz w:val="14"/>
              </w:rPr>
              <w:t>Reproducible metrics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4"/>
              </w:rPr>
              <w:t>Product</w:t>
            </w:r>
          </w:p>
        </w:tc>
        <w:tc>
          <w:tcPr>
            <w:tcW w:type="dxa" w:w="1247"/>
            <w:shd w:val="clear" w:color="auto" w:fill="F2F6FB"/>
          </w:tcPr>
          <w:p>
            <w:r/>
            <w:r>
              <w:rPr>
                <w:sz w:val="14"/>
              </w:rPr>
              <w:t>Analytics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Obtain missing Task 01 simulated sheets (A003)</w:t>
            </w:r>
          </w:p>
        </w:tc>
        <w:tc>
          <w:tcPr>
            <w:tcW w:type="dxa" w:w="2494"/>
          </w:tcPr>
          <w:p>
            <w:r/>
            <w:r>
              <w:rPr>
                <w:sz w:val="14"/>
              </w:rPr>
              <w:t>Complete J2/J3 testing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Program team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Admin</w:t>
            </w:r>
          </w:p>
        </w:tc>
        <w:tc>
          <w:tcPr>
            <w:tcW w:type="dxa" w:w="907"/>
          </w:tcPr>
          <w:p>
            <w:r/>
            <w:r>
              <w:rPr>
                <w:sz w:val="14"/>
              </w:rPr>
              <w:t>Immediate</w:t>
            </w:r>
          </w:p>
        </w:tc>
      </w:tr>
      <w:tr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Consent history capture</w:t>
            </w:r>
          </w:p>
        </w:tc>
        <w:tc>
          <w:tcPr>
            <w:tcW w:type="dxa" w:w="2494"/>
            <w:shd w:val="clear" w:color="auto" w:fill="F2F6FB"/>
          </w:tcPr>
          <w:p>
            <w:r/>
            <w:r>
              <w:rPr>
                <w:sz w:val="14"/>
              </w:rPr>
              <w:t>Compliance audit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4"/>
              </w:rPr>
              <w:t>Legal</w:t>
            </w:r>
          </w:p>
        </w:tc>
        <w:tc>
          <w:tcPr>
            <w:tcW w:type="dxa" w:w="1247"/>
            <w:shd w:val="clear" w:color="auto" w:fill="F2F6FB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Third-party outcome fields (provider_ref, provider_status)</w:t>
            </w:r>
          </w:p>
        </w:tc>
        <w:tc>
          <w:tcPr>
            <w:tcW w:type="dxa" w:w="2494"/>
          </w:tcPr>
          <w:p>
            <w:r/>
            <w:r>
              <w:rPr>
                <w:sz w:val="14"/>
              </w:rPr>
              <w:t>Attribute external effects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Providers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07"/>
          </w:tcPr>
          <w:p>
            <w:r/>
            <w:r>
              <w:rPr>
                <w:sz w:val="14"/>
              </w:rPr>
              <w:t>Postlaunch</w:t>
            </w:r>
          </w:p>
        </w:tc>
      </w:tr>
      <w:tr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Data-quality dashboard tile and alerts</w:t>
            </w:r>
          </w:p>
        </w:tc>
        <w:tc>
          <w:tcPr>
            <w:tcW w:type="dxa" w:w="2494"/>
            <w:shd w:val="clear" w:color="auto" w:fill="F2F6FB"/>
          </w:tcPr>
          <w:p>
            <w:r/>
            <w:r>
              <w:rPr>
                <w:sz w:val="14"/>
              </w:rPr>
              <w:t>Operational trust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4"/>
              </w:rPr>
              <w:t>Pipeline</w:t>
            </w:r>
          </w:p>
        </w:tc>
        <w:tc>
          <w:tcPr>
            <w:tcW w:type="dxa" w:w="1247"/>
            <w:shd w:val="clear" w:color="auto" w:fill="F2F6FB"/>
          </w:tcPr>
          <w:p>
            <w:r/>
            <w:r>
              <w:rPr>
                <w:sz w:val="14"/>
              </w:rPr>
              <w:t>Data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Postlaunch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Role-based access and hashed identifiers in analytics layer</w:t>
            </w:r>
          </w:p>
        </w:tc>
        <w:tc>
          <w:tcPr>
            <w:tcW w:type="dxa" w:w="2494"/>
          </w:tcPr>
          <w:p>
            <w:r/>
            <w:r>
              <w:rPr>
                <w:sz w:val="14"/>
              </w:rPr>
              <w:t>Privacy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Governance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Data / Engineering</w:t>
            </w:r>
          </w:p>
        </w:tc>
        <w:tc>
          <w:tcPr>
            <w:tcW w:type="dxa" w:w="907"/>
          </w:tcPr>
          <w:p>
            <w:r/>
            <w:r>
              <w:rPr>
                <w:sz w:val="14"/>
              </w:rPr>
              <w:t>Prelaunch</w:t>
            </w:r>
          </w:p>
        </w:tc>
      </w:tr>
      <w:tr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Support ticket category tracking</w:t>
            </w:r>
          </w:p>
        </w:tc>
        <w:tc>
          <w:tcPr>
            <w:tcW w:type="dxa" w:w="2494"/>
            <w:shd w:val="clear" w:color="auto" w:fill="F2F6FB"/>
          </w:tcPr>
          <w:p>
            <w:r/>
            <w:r>
              <w:rPr>
                <w:sz w:val="14"/>
              </w:rPr>
              <w:t>Support KPIs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4"/>
              </w:rPr>
              <w:t>Operations</w:t>
            </w:r>
          </w:p>
        </w:tc>
        <w:tc>
          <w:tcPr>
            <w:tcW w:type="dxa" w:w="1247"/>
            <w:shd w:val="clear" w:color="auto" w:fill="F2F6FB"/>
          </w:tcPr>
          <w:p>
            <w:r/>
            <w:r>
              <w:rPr>
                <w:sz w:val="14"/>
              </w:rPr>
              <w:t>Operations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Postlaunch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4"/>
              </w:rPr>
              <w:t>Low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Badge/level/leaderboard analytics</w:t>
            </w:r>
          </w:p>
        </w:tc>
        <w:tc>
          <w:tcPr>
            <w:tcW w:type="dxa" w:w="2494"/>
          </w:tcPr>
          <w:p>
            <w:r/>
            <w:r>
              <w:rPr>
                <w:sz w:val="14"/>
              </w:rPr>
              <w:t>Low business risk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Core events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Analytics</w:t>
            </w:r>
          </w:p>
        </w:tc>
        <w:tc>
          <w:tcPr>
            <w:tcW w:type="dxa" w:w="907"/>
          </w:tcPr>
          <w:p>
            <w:r/>
            <w:r>
              <w:rPr>
                <w:sz w:val="14"/>
              </w:rPr>
              <w:t>Postlaunch</w:t>
            </w:r>
          </w:p>
        </w:tc>
      </w:tr>
      <w:tr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Low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Advanced management dashboard</w:t>
            </w:r>
          </w:p>
        </w:tc>
        <w:tc>
          <w:tcPr>
            <w:tcW w:type="dxa" w:w="2494"/>
            <w:shd w:val="clear" w:color="auto" w:fill="F2F6FB"/>
          </w:tcPr>
          <w:p>
            <w:r/>
            <w:r>
              <w:rPr>
                <w:sz w:val="14"/>
              </w:rPr>
              <w:t>Needs production data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4"/>
              </w:rPr>
              <w:t>Production data</w:t>
            </w:r>
          </w:p>
        </w:tc>
        <w:tc>
          <w:tcPr>
            <w:tcW w:type="dxa" w:w="1247"/>
            <w:shd w:val="clear" w:color="auto" w:fill="F2F6FB"/>
          </w:tcPr>
          <w:p>
            <w:r/>
            <w:r>
              <w:rPr>
                <w:sz w:val="14"/>
              </w:rPr>
              <w:t>Analytics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4"/>
              </w:rPr>
              <w:t>Postlaunch</w:t>
            </w:r>
          </w:p>
        </w:tc>
      </w:tr>
    </w:tbl>
    <w:p>
      <w:pPr>
        <w:spacing w:after="4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