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8" w:type="dxa"/>
        <w:tblInd w:w="5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55" w:type="dxa"/>
          <w:left w:w="55" w:type="dxa"/>
          <w:bottom w:w="55" w:type="dxa"/>
          <w:right w:w="55" w:type="dxa"/>
        </w:tblCellMar>
      </w:tblPr>
      <w:tblGrid>
        <w:gridCol w:w="4819"/>
        <w:gridCol w:w="4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5" w:type="dxa"/>
            <w:left w:w="55" w:type="dxa"/>
            <w:bottom w:w="55" w:type="dxa"/>
            <w:right w:w="55" w:type="dxa"/>
          </w:tblCellMar>
        </w:tblPrEx>
        <w:trPr>
          <w:trHeight w:val="2535" w:hRule="atLeast"/>
        </w:trPr>
        <w:tc>
          <w:tcPr>
            <w:tcW w:w="4819" w:type="dxa"/>
            <w:tcBorders>
              <w:tl2br w:val="nil"/>
              <w:tr2bl w:val="nil"/>
            </w:tcBorders>
          </w:tcPr>
          <w:p>
            <w:pPr>
              <w:bidi w:val="0"/>
              <w:jc w:val="right"/>
              <w:rPr>
                <w:rFonts w:hint="default"/>
                <w:lang w:val="en-US"/>
              </w:rPr>
            </w:pPr>
            <w:r>
              <w:rPr>
                <w:rFonts w:hint="default"/>
                <w:lang w:val="en-US"/>
              </w:rPr>
              <w:drawing>
                <wp:inline distT="0" distB="0" distL="114300" distR="114300">
                  <wp:extent cx="1546225" cy="1616710"/>
                  <wp:effectExtent l="0" t="0" r="15875" b="2540"/>
                  <wp:docPr id="1" name="Picture 1" descr="IMG_20211022_100914-removebg-preview-removebg-preview"/>
                  <wp:cNvGraphicFramePr/>
                  <a:graphic xmlns:a="http://schemas.openxmlformats.org/drawingml/2006/main">
                    <a:graphicData uri="http://schemas.openxmlformats.org/drawingml/2006/picture">
                      <pic:pic xmlns:pic="http://schemas.openxmlformats.org/drawingml/2006/picture">
                        <pic:nvPicPr>
                          <pic:cNvPr id="1" name="Picture 1" descr="IMG_20211022_100914-removebg-preview-removebg-preview"/>
                          <pic:cNvPicPr/>
                        </pic:nvPicPr>
                        <pic:blipFill>
                          <a:blip r:embed="rId4"/>
                          <a:srcRect l="-577" b="21067"/>
                          <a:stretch>
                            <a:fillRect/>
                          </a:stretch>
                        </pic:blipFill>
                        <pic:spPr>
                          <a:xfrm>
                            <a:off x="0" y="0"/>
                            <a:ext cx="1546225" cy="1616710"/>
                          </a:xfrm>
                          <a:prstGeom prst="rect">
                            <a:avLst/>
                          </a:prstGeom>
                        </pic:spPr>
                      </pic:pic>
                    </a:graphicData>
                  </a:graphic>
                </wp:inline>
              </w:drawing>
            </w:r>
          </w:p>
        </w:tc>
        <w:tc>
          <w:tcPr>
            <w:tcW w:w="4819" w:type="dxa"/>
            <w:tcBorders>
              <w:tl2br w:val="nil"/>
              <w:tr2bl w:val="nil"/>
            </w:tcBorders>
          </w:tcPr>
          <w:p>
            <w:pPr>
              <w:bidi w:val="0"/>
              <w:spacing w:line="240" w:lineRule="auto"/>
              <w:rPr>
                <w:rFonts w:hint="default"/>
                <w:lang w:val="en-US"/>
              </w:rPr>
            </w:pPr>
            <w:r>
              <w:rPr>
                <w:rFonts w:hint="default"/>
                <w:b/>
                <w:bCs/>
                <w:sz w:val="40"/>
                <w:szCs w:val="40"/>
                <w:lang w:val="en-US"/>
              </w:rPr>
              <w:t>Iqra Misbahudin</w:t>
            </w:r>
          </w:p>
          <w:p>
            <w:pPr>
              <w:bidi w:val="0"/>
              <w:rPr>
                <w:rFonts w:hint="default"/>
              </w:rPr>
            </w:pPr>
          </w:p>
          <w:p>
            <w:pPr>
              <w:bidi w:val="0"/>
              <w:rPr>
                <w:rFonts w:hint="default"/>
              </w:rPr>
            </w:pPr>
            <w:r>
              <w:rPr>
                <w:rFonts w:hint="default"/>
              </w:rPr>
              <w:t>Dusung Gandol RT.18/RW.006</w:t>
            </w:r>
          </w:p>
          <w:p>
            <w:pPr>
              <w:bidi w:val="0"/>
              <w:rPr>
                <w:rFonts w:hint="default"/>
              </w:rPr>
            </w:pPr>
            <w:r>
              <w:rPr>
                <w:rFonts w:hint="default"/>
              </w:rPr>
              <w:t>Dukuh Picung, Luragung</w:t>
            </w:r>
          </w:p>
          <w:p>
            <w:pPr>
              <w:bidi w:val="0"/>
              <w:rPr>
                <w:rFonts w:hint="default"/>
              </w:rPr>
            </w:pPr>
            <w:r>
              <w:rPr>
                <w:rFonts w:hint="default"/>
              </w:rPr>
              <w:t xml:space="preserve">Kuningan, </w:t>
            </w:r>
            <w:r>
              <w:rPr>
                <w:rFonts w:hint="default"/>
                <w:lang w:val="en-US"/>
              </w:rPr>
              <w:t>J</w:t>
            </w:r>
            <w:r>
              <w:rPr>
                <w:rFonts w:hint="default"/>
              </w:rPr>
              <w:t>awa Barat</w:t>
            </w:r>
          </w:p>
          <w:p>
            <w:pPr>
              <w:bidi w:val="0"/>
              <w:rPr>
                <w:rFonts w:hint="default"/>
                <w:lang w:val="en-US"/>
              </w:rPr>
            </w:pPr>
            <w:r>
              <w:rPr>
                <w:rFonts w:hint="default"/>
                <w:lang w:val="en-US"/>
              </w:rPr>
              <w:t>0857-7370-7409</w:t>
            </w:r>
          </w:p>
          <w:p>
            <w:pPr>
              <w:bidi w:val="0"/>
              <w:rPr>
                <w:rFonts w:hint="default"/>
              </w:rPr>
            </w:pPr>
            <w:r>
              <w:rPr>
                <w:rFonts w:hint="default"/>
                <w:u w:val="none"/>
              </w:rPr>
              <w:fldChar w:fldCharType="begin"/>
            </w:r>
            <w:r>
              <w:rPr>
                <w:rFonts w:hint="default"/>
                <w:u w:val="none"/>
              </w:rPr>
              <w:instrText xml:space="preserve"> HYPERLINK "mailto:iqra.misbahudin@gmail.com" </w:instrText>
            </w:r>
            <w:r>
              <w:rPr>
                <w:rFonts w:hint="default"/>
                <w:u w:val="none"/>
              </w:rPr>
              <w:fldChar w:fldCharType="separate"/>
            </w:r>
            <w:r>
              <w:rPr>
                <w:rStyle w:val="6"/>
                <w:rFonts w:hint="default"/>
                <w:color w:val="auto"/>
                <w:u w:val="none"/>
              </w:rPr>
              <w:t>iqra.misbahudin@gmail.</w:t>
            </w:r>
            <w:r>
              <w:rPr>
                <w:rStyle w:val="12"/>
                <w:rFonts w:hint="default"/>
              </w:rPr>
              <w:t>com</w:t>
            </w:r>
            <w:r>
              <w:rPr>
                <w:rFonts w:hint="default"/>
                <w:u w:val="none"/>
              </w:rPr>
              <w:fldChar w:fldCharType="end"/>
            </w:r>
          </w:p>
          <w:p>
            <w:pPr>
              <w:pStyle w:val="4"/>
              <w:bidi w:val="0"/>
              <w:spacing w:line="240" w:lineRule="auto"/>
              <w:rPr>
                <w:rFonts w:hint="default"/>
              </w:rPr>
            </w:pPr>
            <w:r>
              <w:rPr>
                <w:rFonts w:hint="default"/>
                <w:lang w:val="en-US"/>
              </w:rPr>
              <w:t>iqra94.github.io/iqra-portfolio-new</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5" w:type="dxa"/>
            <w:left w:w="55" w:type="dxa"/>
            <w:bottom w:w="55" w:type="dxa"/>
            <w:right w:w="55" w:type="dxa"/>
          </w:tblCellMar>
        </w:tblPrEx>
        <w:tc>
          <w:tcPr>
            <w:tcW w:w="4819" w:type="dxa"/>
            <w:tcBorders>
              <w:bottom w:val="single" w:color="auto" w:sz="4" w:space="0"/>
              <w:tl2br w:val="nil"/>
              <w:tr2bl w:val="nil"/>
            </w:tcBorders>
          </w:tcPr>
          <w:p>
            <w:pPr>
              <w:bidi w:val="0"/>
              <w:rPr>
                <w:rFonts w:hint="default"/>
                <w:sz w:val="10"/>
                <w:szCs w:val="10"/>
              </w:rPr>
            </w:pPr>
          </w:p>
        </w:tc>
        <w:tc>
          <w:tcPr>
            <w:tcW w:w="4819" w:type="dxa"/>
            <w:tcBorders>
              <w:bottom w:val="single" w:color="auto" w:sz="4" w:space="0"/>
              <w:tl2br w:val="nil"/>
              <w:tr2bl w:val="nil"/>
            </w:tcBorders>
          </w:tcPr>
          <w:p>
            <w:pPr>
              <w:bidi w:val="0"/>
              <w:rPr>
                <w:rFonts w:hint="default"/>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5" w:type="dxa"/>
            <w:left w:w="55" w:type="dxa"/>
            <w:bottom w:w="55" w:type="dxa"/>
            <w:right w:w="55" w:type="dxa"/>
          </w:tblCellMar>
        </w:tblPrEx>
        <w:tc>
          <w:tcPr>
            <w:tcW w:w="9638" w:type="dxa"/>
            <w:gridSpan w:val="2"/>
            <w:tcBorders>
              <w:top w:val="single" w:color="auto" w:sz="4" w:space="0"/>
              <w:bottom w:val="single" w:color="auto" w:sz="4" w:space="0"/>
            </w:tcBorders>
          </w:tcPr>
          <w:p>
            <w:pPr>
              <w:bidi w:val="0"/>
              <w:jc w:val="both"/>
              <w:rPr>
                <w:rFonts w:hint="default"/>
              </w:rPr>
            </w:pPr>
          </w:p>
          <w:p>
            <w:pPr>
              <w:bidi w:val="0"/>
              <w:jc w:val="both"/>
              <w:rPr>
                <w:rFonts w:hint="default"/>
              </w:rPr>
            </w:pPr>
            <w:r>
              <w:rPr>
                <w:rFonts w:hint="default"/>
              </w:rPr>
              <w:t>Saya adalah orang yang bertipe pekerja keras, tekun dan percaya diri dalam melakukan segala sesuatu. Dalam urusan pekerjaan saya sangat profesional, teliti dan bertanggung jawab. Saya dapat bekerja dengan baik dalam tim maupun individu. Menerima kritik yang membangun dan senang untuk terus belajar serta mengembangkan wawasan.</w:t>
            </w:r>
          </w:p>
          <w:p>
            <w:pPr>
              <w:bidi w:val="0"/>
              <w:jc w:val="both"/>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5" w:type="dxa"/>
            <w:left w:w="55" w:type="dxa"/>
            <w:bottom w:w="55" w:type="dxa"/>
            <w:right w:w="55" w:type="dxa"/>
          </w:tblCellMar>
        </w:tblPrEx>
        <w:tc>
          <w:tcPr>
            <w:tcW w:w="4819" w:type="dxa"/>
            <w:tcBorders>
              <w:top w:val="single" w:color="auto" w:sz="4" w:space="0"/>
              <w:tl2br w:val="nil"/>
              <w:tr2bl w:val="nil"/>
            </w:tcBorders>
          </w:tcPr>
          <w:p>
            <w:pPr>
              <w:bidi w:val="0"/>
              <w:rPr>
                <w:rFonts w:hint="default"/>
                <w:sz w:val="10"/>
                <w:szCs w:val="10"/>
              </w:rPr>
            </w:pPr>
          </w:p>
        </w:tc>
        <w:tc>
          <w:tcPr>
            <w:tcW w:w="4819" w:type="dxa"/>
            <w:tcBorders>
              <w:top w:val="single" w:color="auto" w:sz="4" w:space="0"/>
              <w:tl2br w:val="nil"/>
              <w:tr2bl w:val="nil"/>
            </w:tcBorders>
          </w:tcPr>
          <w:p>
            <w:pPr>
              <w:bidi w:val="0"/>
              <w:rPr>
                <w:rFonts w:hint="default"/>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5" w:type="dxa"/>
            <w:left w:w="55" w:type="dxa"/>
            <w:bottom w:w="55" w:type="dxa"/>
            <w:right w:w="55" w:type="dxa"/>
          </w:tblCellMar>
        </w:tblPrEx>
        <w:tc>
          <w:tcPr>
            <w:tcW w:w="4819" w:type="dxa"/>
            <w:tcBorders>
              <w:tl2br w:val="nil"/>
              <w:tr2bl w:val="nil"/>
            </w:tcBorders>
          </w:tcPr>
          <w:p>
            <w:pPr>
              <w:bidi w:val="0"/>
              <w:rPr>
                <w:rFonts w:hint="default"/>
              </w:rPr>
            </w:pPr>
            <w:r>
              <w:rPr>
                <w:rFonts w:hint="default"/>
                <w:b/>
                <w:bCs/>
              </w:rPr>
              <w:t>Pendidikan</w:t>
            </w:r>
          </w:p>
          <w:p>
            <w:pPr>
              <w:bidi w:val="0"/>
              <w:rPr>
                <w:rFonts w:hint="default"/>
              </w:rPr>
            </w:pPr>
          </w:p>
          <w:p>
            <w:pPr>
              <w:bidi w:val="0"/>
              <w:rPr>
                <w:rFonts w:hint="default"/>
                <w:b/>
                <w:bCs/>
              </w:rPr>
            </w:pPr>
            <w:r>
              <w:rPr>
                <w:rFonts w:hint="default"/>
                <w:b/>
                <w:bCs/>
              </w:rPr>
              <w:t>Universitas Pamulang</w:t>
            </w:r>
          </w:p>
          <w:p>
            <w:pPr>
              <w:bidi w:val="0"/>
              <w:rPr>
                <w:rFonts w:hint="default"/>
              </w:rPr>
            </w:pPr>
            <w:r>
              <w:rPr>
                <w:rFonts w:hint="default"/>
                <w:b/>
                <w:bCs/>
              </w:rPr>
              <w:t>Teknik Informatika</w:t>
            </w:r>
          </w:p>
          <w:p>
            <w:pPr>
              <w:bidi w:val="0"/>
              <w:rPr>
                <w:rFonts w:hint="default"/>
              </w:rPr>
            </w:pPr>
            <w:r>
              <w:rPr>
                <w:rFonts w:hint="default"/>
              </w:rPr>
              <w:t>Tangerang Selatan - Banten</w:t>
            </w:r>
          </w:p>
          <w:p>
            <w:pPr>
              <w:bidi w:val="0"/>
              <w:rPr>
                <w:rFonts w:hint="default"/>
              </w:rPr>
            </w:pPr>
            <w:r>
              <w:rPr>
                <w:rFonts w:hint="default"/>
              </w:rPr>
              <w:t>2015 – 2021</w:t>
            </w:r>
          </w:p>
          <w:p>
            <w:pPr>
              <w:bidi w:val="0"/>
              <w:rPr>
                <w:rFonts w:hint="default"/>
              </w:rPr>
            </w:pPr>
          </w:p>
          <w:p>
            <w:pPr>
              <w:bidi w:val="0"/>
              <w:rPr>
                <w:rFonts w:hint="default"/>
                <w:b/>
                <w:bCs/>
              </w:rPr>
            </w:pPr>
            <w:r>
              <w:rPr>
                <w:rFonts w:hint="default"/>
                <w:b/>
                <w:bCs/>
              </w:rPr>
              <w:t>SMK Negeri Luragung</w:t>
            </w:r>
          </w:p>
          <w:p>
            <w:pPr>
              <w:bidi w:val="0"/>
              <w:rPr>
                <w:rFonts w:hint="default"/>
                <w:b/>
                <w:bCs/>
              </w:rPr>
            </w:pPr>
            <w:r>
              <w:rPr>
                <w:rFonts w:hint="default"/>
                <w:b/>
                <w:bCs/>
              </w:rPr>
              <w:t>Teknik Kendaraan Ringan</w:t>
            </w:r>
          </w:p>
          <w:p>
            <w:pPr>
              <w:bidi w:val="0"/>
              <w:rPr>
                <w:rFonts w:hint="default"/>
              </w:rPr>
            </w:pPr>
            <w:r>
              <w:rPr>
                <w:rFonts w:hint="default"/>
              </w:rPr>
              <w:t>Kuningan – Jawa Barat</w:t>
            </w:r>
          </w:p>
          <w:p>
            <w:pPr>
              <w:bidi w:val="0"/>
              <w:rPr>
                <w:rFonts w:hint="default"/>
              </w:rPr>
            </w:pPr>
            <w:r>
              <w:rPr>
                <w:rFonts w:hint="default"/>
              </w:rPr>
              <w:t>2008 – 2011</w:t>
            </w:r>
          </w:p>
          <w:p>
            <w:pPr>
              <w:bidi w:val="0"/>
              <w:rPr>
                <w:rFonts w:hint="default"/>
              </w:rPr>
            </w:pPr>
          </w:p>
          <w:p>
            <w:pPr>
              <w:bidi w:val="0"/>
              <w:rPr>
                <w:rFonts w:hint="default"/>
              </w:rPr>
            </w:pPr>
          </w:p>
        </w:tc>
        <w:tc>
          <w:tcPr>
            <w:tcW w:w="4819" w:type="dxa"/>
            <w:tcBorders>
              <w:tl2br w:val="nil"/>
              <w:tr2bl w:val="nil"/>
            </w:tcBorders>
          </w:tcPr>
          <w:p>
            <w:pPr>
              <w:bidi w:val="0"/>
              <w:rPr>
                <w:rFonts w:hint="default"/>
              </w:rPr>
            </w:pPr>
            <w:r>
              <w:rPr>
                <w:rFonts w:hint="default"/>
                <w:b/>
                <w:bCs/>
              </w:rPr>
              <w:t>Pengalaman Kerja</w:t>
            </w:r>
          </w:p>
          <w:p>
            <w:pPr>
              <w:bidi w:val="0"/>
              <w:rPr>
                <w:rFonts w:hint="default"/>
              </w:rPr>
            </w:pPr>
          </w:p>
          <w:p>
            <w:pPr>
              <w:bidi w:val="0"/>
              <w:rPr>
                <w:rFonts w:hint="default"/>
                <w:b/>
                <w:bCs/>
              </w:rPr>
            </w:pPr>
            <w:r>
              <w:rPr>
                <w:rFonts w:hint="default"/>
                <w:b/>
                <w:bCs/>
              </w:rPr>
              <w:t>Teknisi PDI</w:t>
            </w:r>
          </w:p>
          <w:p>
            <w:pPr>
              <w:bidi w:val="0"/>
              <w:rPr>
                <w:rFonts w:hint="default"/>
              </w:rPr>
            </w:pPr>
            <w:r>
              <w:rPr>
                <w:rFonts w:hint="default"/>
                <w:b/>
                <w:bCs/>
              </w:rPr>
              <w:t>PT Serasi Autoraya</w:t>
            </w:r>
          </w:p>
          <w:p>
            <w:pPr>
              <w:bidi w:val="0"/>
              <w:rPr>
                <w:rFonts w:hint="default"/>
              </w:rPr>
            </w:pPr>
            <w:r>
              <w:rPr>
                <w:rFonts w:hint="default"/>
              </w:rPr>
              <w:t>201</w:t>
            </w:r>
            <w:r>
              <w:rPr>
                <w:rFonts w:hint="default"/>
                <w:lang w:val="en-US"/>
              </w:rPr>
              <w:t xml:space="preserve">6 </w:t>
            </w:r>
            <w:r>
              <w:rPr>
                <w:rFonts w:hint="default"/>
              </w:rPr>
              <w:t>– 2017</w:t>
            </w:r>
          </w:p>
          <w:p>
            <w:pPr>
              <w:bidi w:val="0"/>
              <w:rPr>
                <w:rFonts w:hint="default"/>
              </w:rPr>
            </w:pPr>
            <w:r>
              <w:rPr>
                <w:rFonts w:hint="default"/>
              </w:rPr>
              <w:t xml:space="preserve">Melakukan perawatan dan perbaikan kendaraan roda empat </w:t>
            </w:r>
          </w:p>
          <w:p>
            <w:pPr>
              <w:bidi w:val="0"/>
              <w:rPr>
                <w:rFonts w:hint="default"/>
              </w:rPr>
            </w:pPr>
          </w:p>
          <w:p>
            <w:pPr>
              <w:bidi w:val="0"/>
              <w:rPr>
                <w:rFonts w:hint="default"/>
                <w:b/>
                <w:bCs/>
              </w:rPr>
            </w:pPr>
            <w:r>
              <w:rPr>
                <w:rFonts w:hint="default"/>
                <w:b/>
                <w:bCs/>
              </w:rPr>
              <w:t>Teknisi Kendaraan Roda Empat</w:t>
            </w:r>
          </w:p>
          <w:p>
            <w:pPr>
              <w:bidi w:val="0"/>
              <w:rPr>
                <w:rFonts w:hint="default"/>
              </w:rPr>
            </w:pPr>
            <w:r>
              <w:rPr>
                <w:rFonts w:hint="default"/>
                <w:b/>
                <w:bCs/>
              </w:rPr>
              <w:t>Honda Tebet</w:t>
            </w:r>
          </w:p>
          <w:p>
            <w:pPr>
              <w:bidi w:val="0"/>
              <w:rPr>
                <w:rFonts w:hint="default"/>
              </w:rPr>
            </w:pPr>
            <w:r>
              <w:rPr>
                <w:rFonts w:hint="default"/>
              </w:rPr>
              <w:t>2014 – 2016</w:t>
            </w:r>
          </w:p>
          <w:p>
            <w:pPr>
              <w:bidi w:val="0"/>
              <w:rPr>
                <w:rFonts w:hint="default"/>
              </w:rPr>
            </w:pPr>
            <w:r>
              <w:rPr>
                <w:rFonts w:hint="default"/>
              </w:rPr>
              <w:t xml:space="preserve">Melakukan perawatan dan perbaikan kendaraan roda empat </w:t>
            </w:r>
          </w:p>
          <w:p>
            <w:pPr>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5" w:type="dxa"/>
            <w:left w:w="55" w:type="dxa"/>
            <w:bottom w:w="55" w:type="dxa"/>
            <w:right w:w="55" w:type="dxa"/>
          </w:tblCellMar>
        </w:tblPrEx>
        <w:tc>
          <w:tcPr>
            <w:tcW w:w="4819" w:type="dxa"/>
            <w:tcBorders>
              <w:tl2br w:val="nil"/>
              <w:tr2bl w:val="nil"/>
            </w:tcBorders>
          </w:tcPr>
          <w:p>
            <w:pPr>
              <w:bidi w:val="0"/>
              <w:rPr>
                <w:rFonts w:hint="default"/>
              </w:rPr>
            </w:pPr>
            <w:r>
              <w:rPr>
                <w:rFonts w:hint="default"/>
                <w:b/>
                <w:bCs/>
              </w:rPr>
              <w:t>Keahlian dan Kompetens</w:t>
            </w:r>
            <w:r>
              <w:rPr>
                <w:rFonts w:hint="default"/>
              </w:rPr>
              <w:t>i</w:t>
            </w:r>
          </w:p>
          <w:p>
            <w:pPr>
              <w:bidi w:val="0"/>
              <w:rPr>
                <w:rFonts w:hint="default"/>
              </w:rPr>
            </w:pPr>
          </w:p>
          <w:p>
            <w:pPr>
              <w:bidi w:val="0"/>
              <w:rPr>
                <w:rFonts w:hint="default"/>
              </w:rPr>
            </w:pPr>
            <w:r>
              <w:rPr>
                <w:rFonts w:hint="default"/>
                <w:b/>
                <w:bCs/>
                <w:u w:val="none"/>
              </w:rPr>
              <w:t>Pemrograman</w:t>
            </w:r>
          </w:p>
          <w:p>
            <w:pPr>
              <w:numPr>
                <w:ilvl w:val="0"/>
                <w:numId w:val="1"/>
              </w:numPr>
              <w:bidi w:val="0"/>
              <w:ind w:left="420" w:leftChars="0" w:hanging="420" w:firstLineChars="0"/>
              <w:rPr>
                <w:rFonts w:hint="default"/>
              </w:rPr>
            </w:pPr>
            <w:r>
              <w:rPr>
                <w:rFonts w:hint="default"/>
              </w:rPr>
              <w:t>HTML CSS Javascript</w:t>
            </w:r>
          </w:p>
          <w:p>
            <w:pPr>
              <w:numPr>
                <w:ilvl w:val="0"/>
                <w:numId w:val="1"/>
              </w:numPr>
              <w:bidi w:val="0"/>
              <w:ind w:left="420" w:leftChars="0" w:hanging="420" w:firstLineChars="0"/>
              <w:rPr>
                <w:rFonts w:hint="default"/>
              </w:rPr>
            </w:pPr>
            <w:r>
              <w:rPr>
                <w:rFonts w:hint="default"/>
              </w:rPr>
              <w:t>NodeJs Express</w:t>
            </w:r>
            <w:r>
              <w:rPr>
                <w:rFonts w:hint="default"/>
                <w:lang w:val="en-US"/>
              </w:rPr>
              <w:t>Js</w:t>
            </w:r>
          </w:p>
          <w:p>
            <w:pPr>
              <w:numPr>
                <w:ilvl w:val="0"/>
                <w:numId w:val="1"/>
              </w:numPr>
              <w:bidi w:val="0"/>
              <w:ind w:left="420" w:leftChars="0" w:hanging="420" w:firstLineChars="0"/>
              <w:rPr>
                <w:rFonts w:hint="default"/>
              </w:rPr>
            </w:pPr>
            <w:r>
              <w:rPr>
                <w:rFonts w:hint="default"/>
              </w:rPr>
              <w:t>PHP Laravel</w:t>
            </w:r>
          </w:p>
          <w:p>
            <w:pPr>
              <w:numPr>
                <w:ilvl w:val="0"/>
                <w:numId w:val="1"/>
              </w:numPr>
              <w:bidi w:val="0"/>
              <w:ind w:left="420" w:leftChars="0" w:hanging="420" w:firstLineChars="0"/>
              <w:rPr>
                <w:rFonts w:hint="default"/>
              </w:rPr>
            </w:pPr>
            <w:r>
              <w:rPr>
                <w:rFonts w:hint="default"/>
              </w:rPr>
              <w:t>Java Springboot</w:t>
            </w:r>
          </w:p>
          <w:p>
            <w:pPr>
              <w:bidi w:val="0"/>
              <w:rPr>
                <w:rFonts w:hint="default"/>
              </w:rPr>
            </w:pPr>
          </w:p>
          <w:p>
            <w:pPr>
              <w:bidi w:val="0"/>
              <w:rPr>
                <w:rFonts w:hint="default"/>
              </w:rPr>
            </w:pPr>
            <w:r>
              <w:rPr>
                <w:rFonts w:hint="default"/>
                <w:b/>
                <w:bCs/>
                <w:u w:val="none"/>
              </w:rPr>
              <w:t>Desktop</w:t>
            </w:r>
            <w:r>
              <w:rPr>
                <w:rFonts w:hint="default"/>
                <w:b/>
                <w:bCs/>
                <w:u w:val="none"/>
                <w:lang w:val="en-US"/>
              </w:rPr>
              <w:t xml:space="preserve"> </w:t>
            </w:r>
            <w:r>
              <w:rPr>
                <w:rFonts w:hint="default"/>
                <w:b/>
                <w:bCs/>
                <w:u w:val="none"/>
              </w:rPr>
              <w:t>/</w:t>
            </w:r>
            <w:r>
              <w:rPr>
                <w:rFonts w:hint="default"/>
                <w:b/>
                <w:bCs/>
                <w:u w:val="none"/>
                <w:lang w:val="en-US"/>
              </w:rPr>
              <w:t xml:space="preserve"> </w:t>
            </w:r>
            <w:r>
              <w:rPr>
                <w:rFonts w:hint="default"/>
                <w:b/>
                <w:bCs/>
                <w:u w:val="none"/>
              </w:rPr>
              <w:t>Server</w:t>
            </w:r>
          </w:p>
          <w:p>
            <w:pPr>
              <w:numPr>
                <w:ilvl w:val="0"/>
                <w:numId w:val="1"/>
              </w:numPr>
              <w:bidi w:val="0"/>
              <w:ind w:left="420" w:leftChars="0" w:hanging="420" w:firstLineChars="0"/>
              <w:rPr>
                <w:rFonts w:hint="default"/>
              </w:rPr>
            </w:pPr>
            <w:r>
              <w:rPr>
                <w:rFonts w:hint="default"/>
              </w:rPr>
              <w:t>Windows</w:t>
            </w:r>
          </w:p>
          <w:p>
            <w:pPr>
              <w:numPr>
                <w:ilvl w:val="0"/>
                <w:numId w:val="1"/>
              </w:numPr>
              <w:bidi w:val="0"/>
              <w:ind w:left="420" w:leftChars="0" w:hanging="420" w:firstLineChars="0"/>
              <w:rPr>
                <w:rFonts w:hint="default"/>
              </w:rPr>
            </w:pPr>
            <w:r>
              <w:rPr>
                <w:rFonts w:hint="default"/>
              </w:rPr>
              <w:t>Ubuntu</w:t>
            </w:r>
          </w:p>
          <w:p>
            <w:pPr>
              <w:numPr>
                <w:ilvl w:val="0"/>
                <w:numId w:val="1"/>
              </w:numPr>
              <w:bidi w:val="0"/>
              <w:ind w:left="420" w:leftChars="0" w:hanging="420" w:firstLineChars="0"/>
              <w:rPr>
                <w:rFonts w:hint="default"/>
                <w:lang w:val="en-US"/>
              </w:rPr>
            </w:pPr>
            <w:r>
              <w:rPr>
                <w:rFonts w:hint="default"/>
                <w:lang w:val="en-US"/>
              </w:rPr>
              <w:t>Mikrotik / Cisco</w:t>
            </w:r>
          </w:p>
          <w:p>
            <w:pPr>
              <w:numPr>
                <w:ilvl w:val="0"/>
                <w:numId w:val="1"/>
              </w:numPr>
              <w:bidi w:val="0"/>
              <w:ind w:left="420" w:leftChars="0" w:hanging="420" w:firstLineChars="0"/>
              <w:rPr>
                <w:rFonts w:hint="default"/>
                <w:lang w:val="en-US"/>
              </w:rPr>
            </w:pPr>
            <w:r>
              <w:rPr>
                <w:rFonts w:hint="default"/>
                <w:lang w:val="en-US"/>
              </w:rPr>
              <w:t>GNS3 / VirtualBox</w:t>
            </w:r>
          </w:p>
          <w:p>
            <w:pPr>
              <w:bidi w:val="0"/>
              <w:rPr>
                <w:rFonts w:hint="default"/>
              </w:rPr>
            </w:pPr>
          </w:p>
          <w:p>
            <w:pPr>
              <w:bidi w:val="0"/>
              <w:rPr>
                <w:rFonts w:hint="default"/>
              </w:rPr>
            </w:pPr>
            <w:r>
              <w:rPr>
                <w:rFonts w:hint="default"/>
                <w:b/>
                <w:bCs/>
                <w:u w:val="none"/>
              </w:rPr>
              <w:t>Database</w:t>
            </w:r>
          </w:p>
          <w:p>
            <w:pPr>
              <w:numPr>
                <w:ilvl w:val="0"/>
                <w:numId w:val="1"/>
              </w:numPr>
              <w:bidi w:val="0"/>
              <w:ind w:left="420" w:leftChars="0" w:hanging="420" w:firstLineChars="0"/>
              <w:rPr>
                <w:rFonts w:hint="default"/>
              </w:rPr>
            </w:pPr>
            <w:r>
              <w:rPr>
                <w:rFonts w:hint="default"/>
              </w:rPr>
              <w:t>Mysql</w:t>
            </w:r>
          </w:p>
          <w:p>
            <w:pPr>
              <w:numPr>
                <w:ilvl w:val="0"/>
                <w:numId w:val="1"/>
              </w:numPr>
              <w:bidi w:val="0"/>
              <w:ind w:left="420" w:leftChars="0" w:hanging="420" w:firstLineChars="0"/>
              <w:rPr>
                <w:rFonts w:hint="default"/>
              </w:rPr>
            </w:pPr>
            <w:r>
              <w:rPr>
                <w:rFonts w:hint="default"/>
              </w:rPr>
              <w:t>Postgres SQL</w:t>
            </w:r>
          </w:p>
          <w:p>
            <w:pPr>
              <w:numPr>
                <w:ilvl w:val="0"/>
                <w:numId w:val="1"/>
              </w:numPr>
              <w:bidi w:val="0"/>
              <w:ind w:left="420" w:leftChars="0" w:hanging="420" w:firstLineChars="0"/>
              <w:rPr>
                <w:rFonts w:hint="default"/>
              </w:rPr>
            </w:pPr>
            <w:r>
              <w:rPr>
                <w:rFonts w:hint="default"/>
              </w:rPr>
              <w:t>MongoDB</w:t>
            </w:r>
          </w:p>
        </w:tc>
        <w:tc>
          <w:tcPr>
            <w:tcW w:w="4819" w:type="dxa"/>
            <w:tcBorders>
              <w:tl2br w:val="nil"/>
              <w:tr2bl w:val="nil"/>
            </w:tcBorders>
          </w:tcPr>
          <w:p>
            <w:pPr>
              <w:bidi w:val="0"/>
              <w:rPr>
                <w:rFonts w:hint="default"/>
              </w:rPr>
            </w:pPr>
            <w:r>
              <w:rPr>
                <w:rFonts w:hint="default"/>
                <w:b/>
                <w:bCs/>
              </w:rPr>
              <w:t>Kegiatan dan Kursus</w:t>
            </w:r>
          </w:p>
          <w:p>
            <w:pPr>
              <w:bidi w:val="0"/>
              <w:rPr>
                <w:rFonts w:hint="default"/>
              </w:rPr>
            </w:pPr>
          </w:p>
          <w:p>
            <w:pPr>
              <w:bidi w:val="0"/>
              <w:rPr>
                <w:rFonts w:hint="default"/>
                <w:b/>
                <w:bCs/>
              </w:rPr>
            </w:pPr>
            <w:r>
              <w:rPr>
                <w:rFonts w:hint="default"/>
                <w:b/>
                <w:bCs/>
              </w:rPr>
              <w:t>Course Pemrograman</w:t>
            </w:r>
          </w:p>
          <w:p>
            <w:pPr>
              <w:bidi w:val="0"/>
              <w:rPr>
                <w:rFonts w:hint="default"/>
                <w:b/>
                <w:bCs/>
              </w:rPr>
            </w:pPr>
            <w:r>
              <w:rPr>
                <w:rFonts w:hint="default"/>
                <w:b/>
                <w:bCs/>
              </w:rPr>
              <w:t>Buildwithangga.com</w:t>
            </w:r>
          </w:p>
          <w:p>
            <w:pPr>
              <w:bidi w:val="0"/>
              <w:rPr>
                <w:rFonts w:hint="default"/>
              </w:rPr>
            </w:pPr>
            <w:r>
              <w:rPr>
                <w:rFonts w:hint="default"/>
                <w:b/>
                <w:bCs/>
              </w:rPr>
              <w:t>Laravel, MERN Stack, CI/CD, Microservices</w:t>
            </w:r>
          </w:p>
          <w:p>
            <w:pPr>
              <w:bidi w:val="0"/>
              <w:rPr>
                <w:rFonts w:hint="default"/>
              </w:rPr>
            </w:pPr>
            <w:r>
              <w:rPr>
                <w:rFonts w:hint="default"/>
              </w:rPr>
              <w:t>2021 - Sekarang</w:t>
            </w:r>
          </w:p>
          <w:p>
            <w:pPr>
              <w:bidi w:val="0"/>
              <w:rPr>
                <w:rFonts w:hint="default"/>
              </w:rPr>
            </w:pPr>
            <w:r>
              <w:rPr>
                <w:rFonts w:hint="default"/>
                <w:lang w:val="en-US"/>
              </w:rPr>
              <w:t>Mengikuti kursus sertifikasi daring untuk meningkatkan kemampuan dalam pemrograman</w:t>
            </w:r>
          </w:p>
          <w:p>
            <w:pPr>
              <w:bidi w:val="0"/>
              <w:rPr>
                <w:rFonts w:hint="default"/>
              </w:rPr>
            </w:pPr>
          </w:p>
          <w:p>
            <w:pPr>
              <w:bidi w:val="0"/>
              <w:rPr>
                <w:rFonts w:hint="default"/>
                <w:b/>
                <w:bCs/>
              </w:rPr>
            </w:pPr>
            <w:r>
              <w:rPr>
                <w:rFonts w:hint="default"/>
                <w:b/>
                <w:bCs/>
              </w:rPr>
              <w:t>Course Pemrograman</w:t>
            </w:r>
          </w:p>
          <w:p>
            <w:pPr>
              <w:bidi w:val="0"/>
              <w:rPr>
                <w:rFonts w:hint="default"/>
                <w:b/>
                <w:bCs/>
              </w:rPr>
            </w:pPr>
            <w:r>
              <w:rPr>
                <w:rFonts w:hint="default"/>
                <w:b/>
                <w:bCs/>
              </w:rPr>
              <w:t>Udemy.com</w:t>
            </w:r>
          </w:p>
          <w:p>
            <w:pPr>
              <w:bidi w:val="0"/>
              <w:rPr>
                <w:rFonts w:hint="default"/>
              </w:rPr>
            </w:pPr>
            <w:r>
              <w:rPr>
                <w:rFonts w:hint="default"/>
                <w:b/>
                <w:bCs/>
              </w:rPr>
              <w:t>Springboot, Linux, Node Js</w:t>
            </w:r>
          </w:p>
          <w:p>
            <w:pPr>
              <w:bidi w:val="0"/>
              <w:rPr>
                <w:rFonts w:hint="default"/>
              </w:rPr>
            </w:pPr>
            <w:r>
              <w:rPr>
                <w:rFonts w:hint="default"/>
              </w:rPr>
              <w:t>2022 - Sekarang</w:t>
            </w:r>
          </w:p>
          <w:p>
            <w:pPr>
              <w:bidi w:val="0"/>
              <w:rPr>
                <w:rFonts w:hint="default"/>
                <w:lang w:val="en-US"/>
              </w:rPr>
            </w:pPr>
            <w:r>
              <w:rPr>
                <w:rFonts w:hint="default"/>
                <w:lang w:val="en-US"/>
              </w:rPr>
              <w:t>Mengikuti kursus sertifikasi daring untuk meningkatkan kemampuan dalam pemrograman</w:t>
            </w:r>
          </w:p>
        </w:tc>
      </w:tr>
    </w:tbl>
    <w:p>
      <w:pPr>
        <w:bidi w:val="0"/>
        <w:jc w:val="left"/>
      </w:pPr>
    </w:p>
    <w:sectPr>
      <w:pgSz w:w="11906" w:h="16838"/>
      <w:pgMar w:top="1134" w:right="1134" w:bottom="1134" w:left="1134" w:header="0" w:footer="0" w:gutter="0"/>
      <w:pgBorders>
        <w:top w:val="none" w:sz="0" w:space="0"/>
        <w:left w:val="none" w:sz="0" w:space="0"/>
        <w:bottom w:val="none" w:sz="0" w:space="0"/>
        <w:right w:val="none" w:sz="0" w:space="0"/>
      </w:pgBorders>
      <w:pgNumType w:fmt="decimal"/>
      <w:cols w:space="720" w:num="1"/>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A00002AF" w:usb1="500078FB" w:usb2="00000000" w:usb3="00000000" w:csb0="6000009F" w:csb1="DFD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E6966"/>
    <w:multiLevelType w:val="singleLevel"/>
    <w:tmpl w:val="D5FE696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ompat>
    <w:compatSetting w:name="compatibilityMode" w:uri="http://schemas.microsoft.com/office/word" w:val="12"/>
  </w:compat>
  <w:rsids>
    <w:rsidRoot w:val="00000000"/>
    <w:rsid w:val="6FF63455"/>
    <w:rsid w:val="7D763DB2"/>
    <w:rsid w:val="EC3BC462"/>
    <w:rsid w:val="FCEE51CE"/>
    <w:rsid w:val="FDB7FF39"/>
    <w:rsid w:val="FFFEAD58"/>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Lohit Devanagari"/>
      <w:color w:val="auto"/>
      <w:kern w:val="2"/>
      <w:sz w:val="24"/>
      <w:szCs w:val="24"/>
      <w:lang w:val="en-US"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link w:val="12"/>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character" w:styleId="6">
    <w:name w:val="Hyperlink"/>
    <w:qFormat/>
    <w:uiPriority w:val="0"/>
    <w:rPr>
      <w:color w:val="000080"/>
      <w:u w:val="single"/>
      <w:lang w:val="zh-CN" w:eastAsia="zh-CN" w:bidi="zh-CN"/>
    </w:rPr>
  </w:style>
  <w:style w:type="paragraph" w:styleId="7">
    <w:name w:val="List"/>
    <w:basedOn w:val="4"/>
    <w:qFormat/>
    <w:uiPriority w:val="0"/>
    <w:rPr>
      <w:rFonts w:cs="Lohit Devanagari"/>
    </w:rPr>
  </w:style>
  <w:style w:type="character" w:customStyle="1" w:styleId="8">
    <w:name w:val="Numbering Symbols"/>
    <w:qFormat/>
    <w:uiPriority w:val="0"/>
  </w:style>
  <w:style w:type="paragraph" w:customStyle="1" w:styleId="9">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0">
    <w:name w:val="Index"/>
    <w:basedOn w:val="1"/>
    <w:qFormat/>
    <w:uiPriority w:val="0"/>
    <w:pPr>
      <w:suppressLineNumbers/>
    </w:pPr>
    <w:rPr>
      <w:rFonts w:cs="Lohit Devanagari"/>
    </w:rPr>
  </w:style>
  <w:style w:type="paragraph" w:customStyle="1" w:styleId="11">
    <w:name w:val="Table Contents"/>
    <w:basedOn w:val="1"/>
    <w:qFormat/>
    <w:uiPriority w:val="0"/>
    <w:pPr>
      <w:suppressLineNumbers/>
    </w:pPr>
  </w:style>
  <w:style w:type="character" w:customStyle="1" w:styleId="12">
    <w:name w:val="Body Text Char"/>
    <w:link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170</Words>
  <Characters>1100</Characters>
  <Paragraphs>49</Paragraphs>
  <TotalTime>15</TotalTime>
  <ScaleCrop>false</ScaleCrop>
  <LinksUpToDate>false</LinksUpToDate>
  <CharactersWithSpaces>1217</CharactersWithSpaces>
  <Application>WPS Office_11.1.0.10976_F1E327BC-269C-435d-A152-05C5408002CA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2023-03-10T17:59:00Z</dcterms:created>
  <dc:creator>agera94</dc:creator>
  <cp:lastModifiedBy>agera94</cp:lastModifiedBy>
  <dcterms:modified xsi:type="dcterms:W3CDTF">2023-06-11T19:51:28Z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