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79"/>
          <w:sz w:val="26"/>
          <w:szCs w:val="26"/>
        </w:rPr>
        <w:t xml:space="preserve">Registration-Error-Aware Deviation Detection Between As-Built Point Clouds and As-Designed BIM Models</w:t>
      </w:r>
    </w:p>
    <w:p>
      <w:pPr>
        <w:spacing w:after="160"/>
        <w:jc w:val="center"/>
      </w:pPr>
      <w:r>
        <w:rPr>
          <w:rFonts w:ascii="Calibri" w:cs="Calibri" w:eastAsia="Calibri" w:hAnsi="Calibri"/>
          <w:i/>
          <w:iCs/>
          <w:color w:val="555555"/>
          <w:sz w:val="18"/>
          <w:szCs w:val="18"/>
        </w:rPr>
        <w:t xml:space="preserve">Semester Project Proposal — Computer Vision for Construction Engineering</w:t>
      </w:r>
    </w:p>
    <w:p>
      <w:pPr>
        <w:pBdr>
          <w:bottom w:val="single" w:color="1F4E79" w:sz="4" w:space="2"/>
        </w:pBdr>
        <w:spacing w:after="60" w:before="160"/>
      </w:pPr>
      <w:r>
        <w:rPr>
          <w:rFonts w:ascii="Calibri" w:cs="Calibri" w:eastAsia="Calibri" w:hAnsi="Calibri"/>
          <w:b/>
          <w:bCs/>
          <w:color w:val="1F4E79"/>
          <w:sz w:val="21"/>
          <w:szCs w:val="21"/>
        </w:rPr>
        <w:t xml:space="preserve">Problem Statement</w:t>
      </w:r>
    </w:p>
    <w:p>
      <w:pPr>
        <w:spacing w:after="90"/>
      </w:pPr>
      <w:r>
        <w:rPr>
          <w:rFonts w:ascii="Calibri" w:cs="Calibri" w:eastAsia="Calibri" w:hAnsi="Calibri"/>
          <w:sz w:val="19"/>
          <w:szCs w:val="19"/>
        </w:rPr>
        <w:t xml:space="preserve">Construction quality control requires comparing an as-designed BIM model against the as-built physical structure captured via laser scanning or photogrammetry. This requires (1) registering the point cloud to the BIM coordinate frame despite translation, rotation, noise, occlusion, and incomplete coverage, and (2) computing geometric deviations between the two. A key open issue in the literature is that registration and deviation evaluation are typically treated as separate steps, so detected "deviations" are often contaminated by unquantified registration error rather than reflecting true construction discrepancies.</w:t>
      </w:r>
    </w:p>
    <w:p>
      <w:pPr>
        <w:pBdr>
          <w:bottom w:val="single" w:color="1F4E79" w:sz="4" w:space="2"/>
        </w:pBdr>
        <w:spacing w:after="60" w:before="160"/>
      </w:pPr>
      <w:r>
        <w:rPr>
          <w:rFonts w:ascii="Calibri" w:cs="Calibri" w:eastAsia="Calibri" w:hAnsi="Calibri"/>
          <w:b/>
          <w:bCs/>
          <w:color w:val="1F4E79"/>
          <w:sz w:val="21"/>
          <w:szCs w:val="21"/>
        </w:rPr>
        <w:t xml:space="preserve">Research Question</w:t>
      </w:r>
    </w:p>
    <w:p>
      <w:pPr>
        <w:spacing w:after="90"/>
      </w:pPr>
      <w:r>
        <w:rPr>
          <w:rFonts w:ascii="Calibri" w:cs="Calibri" w:eastAsia="Calibri" w:hAnsi="Calibri"/>
          <w:sz w:val="19"/>
          <w:szCs w:val="19"/>
        </w:rPr>
        <w:t xml:space="preserve">Under controlled, quantifiable registration error, how does a plane-based coarse-to-fine registration strategy compare to a generic point-based baseline (FPFH+RANSAC / ICP) in terms of (a) alignment accuracy and (b) the reliability of downstream deviation detection? Specifically, how does registration error propagate into false-positive and false-negative deviation flags?</w:t>
      </w:r>
    </w:p>
    <w:p>
      <w:pPr>
        <w:pBdr>
          <w:bottom w:val="single" w:color="1F4E79" w:sz="4" w:space="2"/>
        </w:pBdr>
        <w:spacing w:after="60" w:before="160"/>
      </w:pPr>
      <w:r>
        <w:rPr>
          <w:rFonts w:ascii="Calibri" w:cs="Calibri" w:eastAsia="Calibri" w:hAnsi="Calibri"/>
          <w:b/>
          <w:bCs/>
          <w:color w:val="1F4E79"/>
          <w:sz w:val="21"/>
          <w:szCs w:val="21"/>
        </w:rPr>
        <w:t xml:space="preserve">Approach / Pipeline</w:t>
      </w:r>
    </w:p>
    <w:p>
      <w:pPr>
        <w:pStyle w:val="ListParagraph"/>
        <w:numPr>
          <w:ilvl w:val="0"/>
          <w:numId w:val="1"/>
        </w:numPr>
        <w:spacing w:after="40"/>
      </w:pPr>
      <w:r>
        <w:rPr>
          <w:rFonts w:ascii="Calibri" w:cs="Calibri" w:eastAsia="Calibri" w:hAnsi="Calibri"/>
          <w:sz w:val="19"/>
          <w:szCs w:val="19"/>
        </w:rPr>
        <w:t xml:space="preserve">Preprocessing: denoising, downsampling, outlier removal on the point cloud.</w:t>
      </w:r>
    </w:p>
    <w:p>
      <w:pPr>
        <w:pStyle w:val="ListParagraph"/>
        <w:numPr>
          <w:ilvl w:val="0"/>
          <w:numId w:val="1"/>
        </w:numPr>
        <w:spacing w:after="40"/>
      </w:pPr>
      <w:r>
        <w:rPr>
          <w:rFonts w:ascii="Calibri" w:cs="Calibri" w:eastAsia="Calibri" w:hAnsi="Calibri"/>
          <w:sz w:val="19"/>
          <w:szCs w:val="19"/>
        </w:rPr>
        <w:t xml:space="preserve">Coarse registration: (i) plane/corner-based method exploiting BIM planarity, (ii) FPFH+RANSAC global registration baseline.</w:t>
      </w:r>
    </w:p>
    <w:p>
      <w:pPr>
        <w:pStyle w:val="ListParagraph"/>
        <w:numPr>
          <w:ilvl w:val="0"/>
          <w:numId w:val="1"/>
        </w:numPr>
        <w:spacing w:after="40"/>
      </w:pPr>
      <w:r>
        <w:rPr>
          <w:rFonts w:ascii="Calibri" w:cs="Calibri" w:eastAsia="Calibri" w:hAnsi="Calibri"/>
          <w:sz w:val="19"/>
          <w:szCs w:val="19"/>
        </w:rPr>
        <w:t xml:space="preserve">Fine registration: point-to-plane ICP refinement for both baselines.</w:t>
      </w:r>
    </w:p>
    <w:p>
      <w:pPr>
        <w:pStyle w:val="ListParagraph"/>
        <w:numPr>
          <w:ilvl w:val="0"/>
          <w:numId w:val="1"/>
        </w:numPr>
        <w:spacing w:after="40"/>
      </w:pPr>
      <w:r>
        <w:rPr>
          <w:rFonts w:ascii="Calibri" w:cs="Calibri" w:eastAsia="Calibri" w:hAnsi="Calibri"/>
          <w:sz w:val="19"/>
          <w:szCs w:val="19"/>
        </w:rPr>
        <w:t xml:space="preserve">Deviation computation: point-to-mesh/plane signed distance, per-element aggregation, color-coded heatmap.</w:t>
      </w:r>
    </w:p>
    <w:p>
      <w:pPr>
        <w:pStyle w:val="ListParagraph"/>
        <w:numPr>
          <w:ilvl w:val="0"/>
          <w:numId w:val="1"/>
        </w:numPr>
        <w:spacing w:after="40"/>
      </w:pPr>
      <w:r>
        <w:rPr>
          <w:rFonts w:ascii="Calibri" w:cs="Calibri" w:eastAsia="Calibri" w:hAnsi="Calibri"/>
          <w:sz w:val="19"/>
          <w:szCs w:val="19"/>
        </w:rPr>
        <w:t xml:space="preserve">Evaluation: inject known synthetic transforms and simulated occlusion/noise to obtain ground truth; measure rotation/translation error and precision-recall of flagged out-of-tolerance regions.</w:t>
      </w:r>
    </w:p>
    <w:p>
      <w:pPr>
        <w:pBdr>
          <w:bottom w:val="single" w:color="1F4E79" w:sz="4" w:space="2"/>
        </w:pBdr>
        <w:spacing w:after="60" w:before="160"/>
      </w:pPr>
      <w:r>
        <w:rPr>
          <w:rFonts w:ascii="Calibri" w:cs="Calibri" w:eastAsia="Calibri" w:hAnsi="Calibri"/>
          <w:b/>
          <w:bCs/>
          <w:color w:val="1F4E79"/>
          <w:sz w:val="21"/>
          <w:szCs w:val="21"/>
        </w:rPr>
        <w:t xml:space="preserve">Data</w:t>
      </w:r>
    </w:p>
    <w:p>
      <w:pPr>
        <w:spacing w:after="90"/>
      </w:pPr>
      <w:r>
        <w:rPr>
          <w:rFonts w:ascii="Calibri" w:cs="Calibri" w:eastAsia="Calibri" w:hAnsi="Calibri"/>
          <w:sz w:val="19"/>
          <w:szCs w:val="19"/>
        </w:rPr>
        <w:t xml:space="preserve">Primary: a self-generated synthetic dataset — export a simple parametric BIM model, sample a synthetic point cloud, and apply known rigid transforms, noise, and simulated occlusion to obtain ground truth. Secondary (qualitative demo): a small public scan-to-BIM dataset (e.g., Mendeley Faro/CloudCompare dataset) or a subset of BIMNet, subject to access/licensing.</w:t>
      </w:r>
    </w:p>
    <w:p>
      <w:pPr>
        <w:pBdr>
          <w:bottom w:val="single" w:color="1F4E79" w:sz="4" w:space="2"/>
        </w:pBdr>
        <w:spacing w:after="60" w:before="160"/>
      </w:pPr>
      <w:r>
        <w:rPr>
          <w:rFonts w:ascii="Calibri" w:cs="Calibri" w:eastAsia="Calibri" w:hAnsi="Calibri"/>
          <w:b/>
          <w:bCs/>
          <w:color w:val="1F4E79"/>
          <w:sz w:val="21"/>
          <w:szCs w:val="21"/>
        </w:rPr>
        <w:t xml:space="preserve">Deliverables &amp; Evaluation Metrics</w:t>
      </w:r>
    </w:p>
    <w:p>
      <w:pPr>
        <w:pStyle w:val="ListParagraph"/>
        <w:numPr>
          <w:ilvl w:val="0"/>
          <w:numId w:val="1"/>
        </w:numPr>
        <w:spacing w:after="40"/>
      </w:pPr>
      <w:r>
        <w:rPr>
          <w:rFonts w:ascii="Calibri" w:cs="Calibri" w:eastAsia="Calibri" w:hAnsi="Calibri"/>
          <w:sz w:val="19"/>
          <w:szCs w:val="19"/>
        </w:rPr>
        <w:t xml:space="preserve">Working pipeline: preprocessing → registration → deviation computation → heatmap visualization.</w:t>
      </w:r>
    </w:p>
    <w:p>
      <w:pPr>
        <w:pStyle w:val="ListParagraph"/>
        <w:numPr>
          <w:ilvl w:val="0"/>
          <w:numId w:val="1"/>
        </w:numPr>
        <w:spacing w:after="40"/>
      </w:pPr>
      <w:r>
        <w:rPr>
          <w:rFonts w:ascii="Calibri" w:cs="Calibri" w:eastAsia="Calibri" w:hAnsi="Calibri"/>
          <w:sz w:val="19"/>
          <w:szCs w:val="19"/>
        </w:rPr>
        <w:t xml:space="preserve">Quantitative comparison of ≥2 registration methods: RMSE, rotation/translation error.</w:t>
      </w:r>
    </w:p>
    <w:p>
      <w:pPr>
        <w:pStyle w:val="ListParagraph"/>
        <w:numPr>
          <w:ilvl w:val="0"/>
          <w:numId w:val="1"/>
        </w:numPr>
        <w:spacing w:after="40"/>
      </w:pPr>
      <w:r>
        <w:rPr>
          <w:rFonts w:ascii="Calibri" w:cs="Calibri" w:eastAsia="Calibri" w:hAnsi="Calibri"/>
          <w:sz w:val="19"/>
          <w:szCs w:val="19"/>
        </w:rPr>
        <w:t xml:space="preserve">Coupling analysis: deviation-detection precision/recall as a function of injected registration error.</w:t>
      </w:r>
    </w:p>
    <w:p>
      <w:pPr>
        <w:pStyle w:val="ListParagraph"/>
        <w:numPr>
          <w:ilvl w:val="0"/>
          <w:numId w:val="1"/>
        </w:numPr>
        <w:spacing w:after="40"/>
      </w:pPr>
      <w:r>
        <w:rPr>
          <w:rFonts w:ascii="Calibri" w:cs="Calibri" w:eastAsia="Calibri" w:hAnsi="Calibri"/>
          <w:sz w:val="19"/>
          <w:szCs w:val="19"/>
        </w:rPr>
        <w:t xml:space="preserve">Final report and short presentation with reproducible results.</w:t>
      </w:r>
    </w:p>
    <w:p>
      <w:pPr>
        <w:pBdr>
          <w:bottom w:val="single" w:color="1F4E79" w:sz="4" w:space="2"/>
        </w:pBdr>
        <w:spacing w:after="60" w:before="160"/>
      </w:pPr>
      <w:r>
        <w:rPr>
          <w:rFonts w:ascii="Calibri" w:cs="Calibri" w:eastAsia="Calibri" w:hAnsi="Calibri"/>
          <w:b/>
          <w:bCs/>
          <w:color w:val="1F4E79"/>
          <w:sz w:val="21"/>
          <w:szCs w:val="21"/>
        </w:rPr>
        <w:t xml:space="preserve">Scope &amp; Feasibility</w:t>
      </w:r>
    </w:p>
    <w:p>
      <w:pPr>
        <w:spacing w:after="90"/>
      </w:pPr>
      <w:r>
        <w:rPr>
          <w:rFonts w:ascii="Calibri" w:cs="Calibri" w:eastAsia="Calibri" w:hAnsi="Calibri"/>
          <w:sz w:val="19"/>
          <w:szCs w:val="19"/>
        </w:rPr>
        <w:t xml:space="preserve">Scope is deliberately narrowed to 1–2 scenes and classical geometric methods (RANSAC, ICP) rather than deep-learning registration, keeping the project achievable in one semester while preserving a genuine, evaluable research question. Novelty lies in the controlled empirical coupling analysis between registration error and deviation-detection reliability, not in a new registration algorithm.</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2026-08-25T16:32:36.761Z</dcterms:created>
  <dcterms:modified xsi:type="dcterms:W3CDTF">2026-08-25T16:32:36.777Z</dcterms:modified>
</cp:coreProperties>
</file>

<file path=docProps/custom.xml><?xml version="1.0" encoding="utf-8"?>
<Properties xmlns="http://schemas.openxmlformats.org/officeDocument/2006/custom-properties" xmlns:vt="http://schemas.openxmlformats.org/officeDocument/2006/docPropsVTypes"/>
</file>