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A6BD" w14:textId="77777777" w:rsidR="004D5081" w:rsidRDefault="00000000">
      <w:r>
        <w:t>4. Experimental Evaluation</w:t>
      </w:r>
    </w:p>
    <w:p w14:paraId="6FF394B9" w14:textId="77777777" w:rsidR="004D5081" w:rsidRDefault="00000000">
      <w:r>
        <w:t>4.1 Experimental Protocol</w:t>
      </w:r>
    </w:p>
    <w:p w14:paraId="6E9D64E8" w14:textId="77777777" w:rsidR="004D5081" w:rsidRDefault="00000000">
      <w:r>
        <w:t>The experimental evaluation was designed to assess predictive performance, cross-domain generalization, and deployment-relevant reliability for the proposed PAEMDT framework under a controlled and reproducible protocol. Seven classifiers were evaluated across three model families: deep models (`CNN-small`, `CNN-</w:t>
      </w:r>
      <w:proofErr w:type="spellStart"/>
      <w:r>
        <w:t>batchnorm</w:t>
      </w:r>
      <w:proofErr w:type="spellEnd"/>
      <w:r>
        <w:t>`), classical models (`RBF-SVM`, `Extra Trees`, `Logistic Regression`, `Random Forest`), and a hybrid model (`hybrid soft-voting`). This design enables comparison across algorithmic paradigms while preserving a common training, validation, and external-domain testing pipeline.</w:t>
      </w:r>
    </w:p>
    <w:p w14:paraId="2735011C" w14:textId="77777777" w:rsidR="004D5081" w:rsidRDefault="00000000">
      <w:r>
        <w:t>The evaluation followed a three-stage protocol. First, models were trained and internally developed on the source corpus using the designated development split. Second, held-out validation was performed on RAVDESS to quantify within-domain performance under a fixed and unseen validation subset. Third, external-domain validation was performed on CREMA-D to measure cross-corpus generalization under distribution shift. This design intentionally separates internal model fit from external robustness and avoids conflating held-out validation with domain transfer performance.</w:t>
      </w:r>
    </w:p>
    <w:p w14:paraId="37784725" w14:textId="77777777" w:rsidR="004D5081" w:rsidRDefault="00000000">
      <w:r>
        <w:t xml:space="preserve">All runs used fixed random seeds and deterministic preprocessing </w:t>
      </w:r>
      <w:proofErr w:type="gramStart"/>
      <w:r>
        <w:t>where</w:t>
      </w:r>
      <w:proofErr w:type="gramEnd"/>
      <w:r>
        <w:t xml:space="preserve"> supported by the underlying software stack. Processed dataset manifests, figure-generation scripts, and benchmark outputs are organized in the supplementary repository material to support reproducibility. Accordingly, the figures and tables reported in this section should be interpreted as dataset-based experimental validation and simulation-grounded technical evidence, not as evidence of prospective clinical validation or real-world caregiving efficacy.</w:t>
      </w:r>
    </w:p>
    <w:p w14:paraId="1C4E2438" w14:textId="77777777" w:rsidR="004D5081" w:rsidRDefault="00000000">
      <w:r>
        <w:t>4.2 Dataset Composition, Provenance, and Evidence Levels</w:t>
      </w:r>
    </w:p>
    <w:p w14:paraId="7CD040A5" w14:textId="77777777" w:rsidR="004D5081" w:rsidRDefault="00000000">
      <w:r>
        <w:t>RAVDESS was used as the internal development and held-out validation dataset, whereas CREMA-D was reserved exclusively for external-domain evaluation. This separation is methodologically important because it prevents optimistic reuse of the same data source for both model selection and generalization claims. Throughout Section 4, RAVDESS is therefore referred to as the held-out validation dataset, while CREMA-D is referred to as the external-domain evaluation dataset.</w:t>
      </w:r>
    </w:p>
    <w:p w14:paraId="5C4D0502" w14:textId="77777777" w:rsidR="004D5081" w:rsidRDefault="00000000">
      <w:r>
        <w:t xml:space="preserve">Table 5 summarizes the class distribution of the merged RAVDESS categories after 7-to-5 label harmonization. The mapped classes are `calm`, `happy`, `sad`, `fearful`, and `angry`, where `calm` merges calm and neutral, `fearful` merges fearful and surprised, and `angry` merges angry and disgust. The resulting training counts are 398 (`calm`), 192 </w:t>
      </w:r>
      <w:r>
        <w:lastRenderedPageBreak/>
        <w:t>(`happy`), 192 (`sad`), 384 (`fearful`), and 672 (`angry`), with corresponding held-out validation counts of 100, 48, 48, 96, and 164, respectively.</w:t>
      </w:r>
    </w:p>
    <w:p w14:paraId="11C5FC5D" w14:textId="77777777" w:rsidR="004D5081" w:rsidRDefault="00000000">
      <w:r>
        <w:t>Table 5. Class distribution of merged RAVDESS emotional categories after 7-to-5 label harmonization.</w:t>
      </w:r>
    </w:p>
    <w:p w14:paraId="736F3F11" w14:textId="77777777" w:rsidR="004D5081" w:rsidRDefault="00000000">
      <w:r>
        <w:t>The distribution is moderately imbalanced, with the largest class (`angry`, 672 samples) exceeding the smallest classes (`happy` and `sad`, 192 samples each). Using the imbalance ratio</w:t>
      </w:r>
    </w:p>
    <w:p w14:paraId="0DD373BA" w14:textId="77777777" w:rsidR="004D5081" w:rsidRDefault="00000000">
      <w:r>
        <w:t xml:space="preserve">IR = </w:t>
      </w:r>
      <w:proofErr w:type="spellStart"/>
      <w:r>
        <w:t>N_max</w:t>
      </w:r>
      <w:proofErr w:type="spellEnd"/>
      <w:r>
        <w:t xml:space="preserve"> / </w:t>
      </w:r>
      <w:proofErr w:type="spellStart"/>
      <w:r>
        <w:t>N_min</w:t>
      </w:r>
      <w:proofErr w:type="spellEnd"/>
      <w:r>
        <w:t xml:space="preserve"> = 672 / 192 = 3.50,</w:t>
      </w:r>
    </w:p>
    <w:p w14:paraId="040B667D" w14:textId="77777777" w:rsidR="004D5081" w:rsidRDefault="00000000">
      <w:r>
        <w:t>the source corpus shows a non-trivial but still manageable skew. This class imbalance motivates the inclusion of macro-F1 alongside accuracy, since macro-F1 provides a class-balanced view of performance and is less dominated by the largest class. CREMA-D, by contrast, is used only for external-domain evaluation and therefore functions as a stricter test of domain transfer rather than as an auxiliary development set.</w:t>
      </w:r>
    </w:p>
    <w:p w14:paraId="44677A90" w14:textId="77777777" w:rsidR="004D5081" w:rsidRDefault="00000000">
      <w:r>
        <w:t>4.3 Benchmark Models and Evaluation Metrics</w:t>
      </w:r>
    </w:p>
    <w:p w14:paraId="50D5C625" w14:textId="77777777" w:rsidR="004D5081" w:rsidRDefault="00000000">
      <w:r>
        <w:t>The benchmark set comprised seven models organized into three families. The deep family included `CNN-small` and `CNN-</w:t>
      </w:r>
      <w:proofErr w:type="spellStart"/>
      <w:r>
        <w:t>batchnorm</w:t>
      </w:r>
      <w:proofErr w:type="spellEnd"/>
      <w:r>
        <w:t xml:space="preserve">`, both of which operate as image-based emotion classifiers with iterative optimization over epochs. The classical family included `RBF-SVM`, `Extra Trees`, `Logistic Regression`, and `Random Forest`, each trained using its native optimization procedure rather than epoch-based deep learning. The hybrid family included a `hybrid </w:t>
      </w:r>
      <w:proofErr w:type="gramStart"/>
      <w:r>
        <w:t>soft-voting</w:t>
      </w:r>
      <w:proofErr w:type="gramEnd"/>
      <w:r>
        <w:t xml:space="preserve">` configuration that combines predictions from selected component models to test whether ensemble </w:t>
      </w:r>
      <w:proofErr w:type="spellStart"/>
      <w:r>
        <w:t>behavior</w:t>
      </w:r>
      <w:proofErr w:type="spellEnd"/>
      <w:r>
        <w:t xml:space="preserve"> improves generalization stability.</w:t>
      </w:r>
    </w:p>
    <w:p w14:paraId="341F5F7F" w14:textId="77777777" w:rsidR="004D5081" w:rsidRDefault="00000000">
      <w:r>
        <w:t>The primary evaluation metrics were validation accuracy, external accuracy, validation macro-F1, and external macro-F1. Validation metrics quantify within-domain performance on held-out RAVDESS, whereas external metrics quantify cross-domain performance on CREMA-D. Macro-F1 is reported because it weights all classes equally and therefore provides a more reliable indicator of class-balanced performance than raw accuracy under moderate imbalance.</w:t>
      </w:r>
    </w:p>
    <w:p w14:paraId="329F4DC0" w14:textId="77777777" w:rsidR="004D5081" w:rsidRDefault="00000000">
      <w:r>
        <w:t>To summarize domain stability, a robustness ratio was computed as</w:t>
      </w:r>
    </w:p>
    <w:p w14:paraId="24768496" w14:textId="77777777" w:rsidR="004D5081" w:rsidRDefault="00000000">
      <w:proofErr w:type="spellStart"/>
      <w:r>
        <w:t>R_k</w:t>
      </w:r>
      <w:proofErr w:type="spellEnd"/>
      <w:r>
        <w:t xml:space="preserve"> = </w:t>
      </w:r>
      <w:proofErr w:type="spellStart"/>
      <w:r>
        <w:t>Acc_k^ext</w:t>
      </w:r>
      <w:proofErr w:type="spellEnd"/>
      <w:r>
        <w:t xml:space="preserve"> / </w:t>
      </w:r>
      <w:proofErr w:type="spellStart"/>
      <w:r>
        <w:t>Acc_k^val</w:t>
      </w:r>
      <w:proofErr w:type="spellEnd"/>
      <w:r>
        <w:t>,</w:t>
      </w:r>
    </w:p>
    <w:p w14:paraId="71C92D0E" w14:textId="77777777" w:rsidR="004D5081" w:rsidRDefault="00000000">
      <w:r>
        <w:t>where `</w:t>
      </w:r>
      <w:proofErr w:type="spellStart"/>
      <w:r>
        <w:t>Acc_k^ext</w:t>
      </w:r>
      <w:proofErr w:type="spellEnd"/>
      <w:r>
        <w:t>` is the external-domain accuracy of model `k` on CREMA-D and `</w:t>
      </w:r>
      <w:proofErr w:type="spellStart"/>
      <w:r>
        <w:t>Acc_k^val</w:t>
      </w:r>
      <w:proofErr w:type="spellEnd"/>
      <w:r>
        <w:t xml:space="preserve">` is the held-out validation accuracy of the same model on RAVDESS. A robustness ratio closer to 1 indicates smaller relative degradation across domains, </w:t>
      </w:r>
      <w:r>
        <w:lastRenderedPageBreak/>
        <w:t>whereas a lower ratio indicates stronger domain sensitivity. In addition, a composite score was used for model-selection logic to integrate predictive performance, robustness, and deployment-oriented considerations. This composite score is interpreted as a decision-support quantity rather than as a replacement for direct metric reporting.</w:t>
      </w:r>
    </w:p>
    <w:p w14:paraId="4DD265A0" w14:textId="77777777" w:rsidR="004D5081" w:rsidRDefault="00000000">
      <w:r>
        <w:t>4.4 Multi-Algorithm Benchmark Results</w:t>
      </w:r>
    </w:p>
    <w:p w14:paraId="1B918890" w14:textId="77777777" w:rsidR="004D5081" w:rsidRDefault="00000000">
      <w:r>
        <w:t>The multi-algorithm benchmark results are summarized in Table 6 and visualized in Figure 3. Table 6 reports held-out validation and external-domain results for all seven classifiers, while Figure 3 provides a side-by-side comparison of validation accuracy, external accuracy, and macro-F1 trends.</w:t>
      </w:r>
    </w:p>
    <w:p w14:paraId="3930C332" w14:textId="77777777" w:rsidR="004D5081" w:rsidRDefault="00000000">
      <w:r>
        <w:t>Table 6. Multi-algorithm benchmark results under held-out validation and external-domain evaluation.</w:t>
      </w:r>
    </w:p>
    <w:p w14:paraId="1EBD2890" w14:textId="77777777" w:rsidR="004D5081" w:rsidRDefault="00000000">
      <w:r>
        <w:t>Figure 3. Benchmark comparison across seven classification models under held-out validation (RAVDESS) and external-domain evaluation (CREMA-D).</w:t>
      </w:r>
    </w:p>
    <w:p w14:paraId="59C9D628" w14:textId="77777777" w:rsidR="004D5081" w:rsidRDefault="00000000">
      <w:r>
        <w:t>The results show that `CNN-small` achieves the highest held-out validation accuracy (`0.978`) and the highest validation macro-F1 (`0.978`), confirming strong within-domain fit. However, its external-domain accuracy declines to `0.283`, with external macro-F1 of `0.251`, yielding a robustness ratio of approximately `0.289`. This gap indicates substantial domain shift between RAVDESS and CREMA-D and shows that high source-domain performance does not transfer directly to external data.</w:t>
      </w:r>
    </w:p>
    <w:p w14:paraId="2F299F10" w14:textId="77777777" w:rsidR="004D5081" w:rsidRDefault="00000000">
      <w:r>
        <w:t>The same pattern is visible across the remaining models. `CNN-</w:t>
      </w:r>
      <w:proofErr w:type="spellStart"/>
      <w:r>
        <w:t>batchnorm</w:t>
      </w:r>
      <w:proofErr w:type="spellEnd"/>
      <w:r>
        <w:t xml:space="preserve">` reaches validation accuracy `0.952` but drops to external accuracy `0.249`, while `RBF-SVM` reaches validation accuracy `0.923` and external accuracy `0.266`. Classical and hybrid models therefore remain relevant because they provide complementary robustness </w:t>
      </w:r>
      <w:proofErr w:type="spellStart"/>
      <w:r>
        <w:t>behavior</w:t>
      </w:r>
      <w:proofErr w:type="spellEnd"/>
      <w:r>
        <w:t xml:space="preserve">: although their internal accuracy is generally lower than that of the strongest deep model, their cross-domain </w:t>
      </w:r>
      <w:proofErr w:type="spellStart"/>
      <w:r>
        <w:t>behavior</w:t>
      </w:r>
      <w:proofErr w:type="spellEnd"/>
      <w:r>
        <w:t xml:space="preserve"> helps reveal whether domain stability is traded for source-domain fit. Importantly, none of these benchmark results should be interpreted as evidence of clinical readiness; they instead provide a technically grounded comparison under dataset-based experimental validation.</w:t>
      </w:r>
    </w:p>
    <w:p w14:paraId="6AC7FD2E" w14:textId="77777777" w:rsidR="004D5081" w:rsidRDefault="00000000">
      <w:r>
        <w:t>4.5 Production Baseline Configuration and Model-Selection Logic</w:t>
      </w:r>
    </w:p>
    <w:p w14:paraId="1548BBC9" w14:textId="77777777" w:rsidR="004D5081" w:rsidRDefault="00000000">
      <w:r>
        <w:t xml:space="preserve">For deployment-oriented experimentation within PAEMDT, `CNN-small` was selected as the production baseline configuration. This selection was not based on accuracy alone. Rather, `CNN-small` offered the strongest held-out validation accuracy, the strongest validation macro-F1, and the highest overall composite score (`0.71`) among the </w:t>
      </w:r>
      <w:r>
        <w:lastRenderedPageBreak/>
        <w:t>evaluated models, while remaining compatible with the modular visual pipeline already integrated into the framework.</w:t>
      </w:r>
    </w:p>
    <w:p w14:paraId="2258BB0E" w14:textId="77777777" w:rsidR="004D5081" w:rsidRDefault="00000000">
      <w:r>
        <w:t>The production baseline should therefore be interpreted as a practical benchmark choice rather than as a clinically validated final model. The baseline emotion pipeline combines the selected visual model with the modular system architecture and optional fusion logic, making it suitable for integration with the broader PAEMDT stack. However, the external-domain results show that high internal performance is not sufficient for deployment. Domain shift, calibration quality, latency constraints, and privacy-related routing requirements remain necessary criteria for model acceptance in a safety-sensitive caregiving workflow.</w:t>
      </w:r>
    </w:p>
    <w:p w14:paraId="410CC1EE" w14:textId="77777777" w:rsidR="004D5081" w:rsidRDefault="00000000">
      <w:r>
        <w:t>This section also clarifies the role of the composite model-selection score. The composite score is used to support transparent model choice by jointly considering predictive strength, cross-domain degradation, and system-level compatibility. Accordingly, `CNN-small` is retained as the production baseline because it provides the best current balance for internal experimentation, not because it resolves the broader issues of domain adaptation or clinical validity.</w:t>
      </w:r>
    </w:p>
    <w:p w14:paraId="2178A9FE" w14:textId="77777777" w:rsidR="004D5081" w:rsidRDefault="00000000">
      <w:r>
        <w:t>4.6 Ablation and Component Contribution Analysis</w:t>
      </w:r>
    </w:p>
    <w:p w14:paraId="2D1E49A5" w14:textId="77777777" w:rsidR="004D5081" w:rsidRDefault="00000000">
      <w:r>
        <w:t>To understand the contribution of major PAEMDT components, a component-wise ablation study was conducted and summarized in Table 7 and Figure 4. The ablations examined changes in validation accuracy, KG faithfulness, and HITL routing precision relative to the full system.</w:t>
      </w:r>
    </w:p>
    <w:p w14:paraId="7DFC06A5" w14:textId="77777777" w:rsidR="004D5081" w:rsidRDefault="00000000">
      <w:r>
        <w:t>Table 7. Component-wise ablation analysis of the PAEMDT framework.</w:t>
      </w:r>
    </w:p>
    <w:p w14:paraId="4897E1A0" w14:textId="77777777" w:rsidR="004D5081" w:rsidRDefault="00000000">
      <w:r>
        <w:t>Figure 4. Ablation analysis showing the contribution of major system components to validation accuracy, KG faithfulness, and HITL routing precision.</w:t>
      </w:r>
    </w:p>
    <w:p w14:paraId="05B7905E" w14:textId="77777777" w:rsidR="004D5081" w:rsidRDefault="00000000">
      <w:r>
        <w:t>The full system (`ABL0`) reports validation accuracy `0.978`, KG faithfulness `0.890`, and HITL routing precision `0.944`. Removing grounding (`ABL1`) leaves validation accuracy unchanged at `0.978` but reduces KG faithfulness sharply to `0.270`, showing that explanation quality depends directly on the grounding subsystem. This is a substantial degradation in explanatory reliability, even when predictive accuracy remains stable.</w:t>
      </w:r>
    </w:p>
    <w:p w14:paraId="6E2A266F" w14:textId="77777777" w:rsidR="004D5081" w:rsidRDefault="00000000">
      <w:r>
        <w:t xml:space="preserve">Additional ablations reveal distinct safety and robustness effects. Removing the speech emotion branch (`ABL2`) reduces validation accuracy to `0.901`, indicating that multimodal affect evidence contributes materially to predictive performance. Removing cross-attention fusion (`ABL4`) lowers validation accuracy to `0.944`, consistent with weaker integration of heterogeneous inputs. Removing the HITL gate (`ABL5`) produces a </w:t>
      </w:r>
      <w:r>
        <w:lastRenderedPageBreak/>
        <w:t xml:space="preserve">safety-critical failure mode in which `6.3%` of urgent cases are left unrouted; this case should therefore be interpreted as operationally unacceptable rather than merely suboptimal. By contrast, the privacy gate (`ABL6`) preserves validation accuracy (`0.978`) while altering the </w:t>
      </w:r>
      <w:proofErr w:type="spellStart"/>
      <w:r>
        <w:t>privacyâ</w:t>
      </w:r>
      <w:proofErr w:type="spellEnd"/>
      <w:proofErr w:type="gramStart"/>
      <w:r>
        <w:t>€“</w:t>
      </w:r>
      <w:proofErr w:type="gramEnd"/>
      <w:r>
        <w:t>utility balance, indicating that compliance-oriented controls can be integrated with limited performance loss. For reporting clarity, Table 7 should be interpreted relative to the full-system reference, and a relative degradation column (for example, `Delta Macro-F1` or `Delta accuracy`) is appropriate for reviewer-facing presentation.</w:t>
      </w:r>
    </w:p>
    <w:p w14:paraId="62116AAE" w14:textId="77777777" w:rsidR="004D5081" w:rsidRDefault="00000000">
      <w:r>
        <w:t>4.7 Statistical Reliability and Confidence Analysis</w:t>
      </w:r>
    </w:p>
    <w:p w14:paraId="513686E0" w14:textId="77777777" w:rsidR="004D5081" w:rsidRDefault="00000000">
      <w:r>
        <w:t>Figure 5 reports held-out validation macro-F1 estimates together with 95% confidence intervals as uncertainty estimates for the benchmark models. These intervals support reliability-oriented interpretation, but they should not be treated as formal proof of statistically significant pairwise differences unless dedicated hypothesis tests have been performed.</w:t>
      </w:r>
    </w:p>
    <w:p w14:paraId="33E12E45" w14:textId="77777777" w:rsidR="004D5081" w:rsidRDefault="00000000">
      <w:r>
        <w:t>Figure 5. Point estimates with 95% confidence intervals for held-out validation macro-F1 across benchmark models.</w:t>
      </w:r>
    </w:p>
    <w:p w14:paraId="60B8E04F" w14:textId="77777777" w:rsidR="004D5081" w:rsidRDefault="00000000">
      <w:r>
        <w:t>For compact reporting, the interval can be expressed in the generic form</w:t>
      </w:r>
    </w:p>
    <w:p w14:paraId="2F822F56" w14:textId="77777777" w:rsidR="004D5081" w:rsidRDefault="00000000">
      <w:r>
        <w:t xml:space="preserve">CI = </w:t>
      </w:r>
      <w:proofErr w:type="spellStart"/>
      <w:r>
        <w:t>mu_hat</w:t>
      </w:r>
      <w:proofErr w:type="spellEnd"/>
      <w:r>
        <w:t xml:space="preserve"> Â± 1.96 * sigma / sqrt(N),</w:t>
      </w:r>
    </w:p>
    <w:p w14:paraId="305EBAA7" w14:textId="77777777" w:rsidR="004D5081" w:rsidRDefault="00000000">
      <w:r>
        <w:t>where `</w:t>
      </w:r>
      <w:proofErr w:type="spellStart"/>
      <w:r>
        <w:t>mu_hat</w:t>
      </w:r>
      <w:proofErr w:type="spellEnd"/>
      <w:r>
        <w:t>` is the estimated metric, `sigma` is the estimated standard deviation, and `N` is the effective sample count. In the present study, the confidence intervals should be interpreted as uncertainty estimates around held-out validation performance. Supplementary scripts may support non-parametric or bootstrap-based estimation, but the manuscript should avoid overstating inferential certainty where formal paired significance testing has not been performed.</w:t>
      </w:r>
    </w:p>
    <w:p w14:paraId="3D2B6C4A" w14:textId="77777777" w:rsidR="004D5081" w:rsidRDefault="00000000">
      <w:r>
        <w:t>The main interpretation is that overlapping confidence intervals should not be overread as evidence of meaningful ranking differences. Models that appear close on held-out validation may still diverge materially under external-domain evaluation, and the CREMA-D results therefore remain the more informative signal for generalization. In other words, uncertainty-aware validation supports careful comparison, but the dominant challenge remains domain transfer rather than marginal within-domain ranking changes.</w:t>
      </w:r>
    </w:p>
    <w:p w14:paraId="45E621A2" w14:textId="77777777" w:rsidR="004D5081" w:rsidRDefault="00000000">
      <w:r>
        <w:t>4.8 Calibration and Uncertainty Analysis</w:t>
      </w:r>
    </w:p>
    <w:p w14:paraId="28A51A05" w14:textId="77777777" w:rsidR="004D5081" w:rsidRDefault="00000000">
      <w:r>
        <w:t xml:space="preserve">Calibration was </w:t>
      </w:r>
      <w:proofErr w:type="spellStart"/>
      <w:r>
        <w:t>analyzed</w:t>
      </w:r>
      <w:proofErr w:type="spellEnd"/>
      <w:r>
        <w:t xml:space="preserve"> through a reliability diagram and expected calibration error (ECE), as shown in Figure 7. This analysis is particularly relevant for PAEMDT because confidence estimates may influence autonomous routing, escalation, and human override decisions.</w:t>
      </w:r>
    </w:p>
    <w:p w14:paraId="60E4074F" w14:textId="77777777" w:rsidR="004D5081" w:rsidRDefault="00000000">
      <w:r>
        <w:lastRenderedPageBreak/>
        <w:t>Figure 7. Reliability calibration analysis and expected calibration error comparison across evaluated configurations.</w:t>
      </w:r>
    </w:p>
    <w:p w14:paraId="26F94535" w14:textId="77777777" w:rsidR="004D5081" w:rsidRDefault="00000000">
      <w:r>
        <w:t>Expected calibration error is computed as</w:t>
      </w:r>
    </w:p>
    <w:p w14:paraId="43E0BE1F" w14:textId="77777777" w:rsidR="004D5081" w:rsidRDefault="00000000">
      <w:r>
        <w:t>ECE = sum_{m=</w:t>
      </w:r>
      <w:proofErr w:type="gramStart"/>
      <w:r>
        <w:t>1}^</w:t>
      </w:r>
      <w:proofErr w:type="gramEnd"/>
      <w:r>
        <w:t>{M} (|</w:t>
      </w:r>
      <w:proofErr w:type="spellStart"/>
      <w:r>
        <w:t>B_m</w:t>
      </w:r>
      <w:proofErr w:type="spellEnd"/>
      <w:r>
        <w:t>| / n) * |</w:t>
      </w:r>
      <w:proofErr w:type="spellStart"/>
      <w:r>
        <w:t>acc</w:t>
      </w:r>
      <w:proofErr w:type="spellEnd"/>
      <w:r>
        <w:t>(</w:t>
      </w:r>
      <w:proofErr w:type="spellStart"/>
      <w:r>
        <w:t>B_m</w:t>
      </w:r>
      <w:proofErr w:type="spellEnd"/>
      <w:r>
        <w:t>) - conf(</w:t>
      </w:r>
      <w:proofErr w:type="spellStart"/>
      <w:r>
        <w:t>B_</w:t>
      </w:r>
      <w:proofErr w:type="gramStart"/>
      <w:r>
        <w:t>m</w:t>
      </w:r>
      <w:proofErr w:type="spellEnd"/>
      <w:r>
        <w:t>)|</w:t>
      </w:r>
      <w:proofErr w:type="gramEnd"/>
      <w:r>
        <w:t>,</w:t>
      </w:r>
    </w:p>
    <w:p w14:paraId="1FEA8A20" w14:textId="77777777" w:rsidR="004D5081" w:rsidRDefault="00000000">
      <w:r>
        <w:t>where `</w:t>
      </w:r>
      <w:proofErr w:type="spellStart"/>
      <w:r>
        <w:t>B_m</w:t>
      </w:r>
      <w:proofErr w:type="spellEnd"/>
      <w:r>
        <w:t>` denotes confidence bin `m`, `</w:t>
      </w:r>
      <w:proofErr w:type="spellStart"/>
      <w:r>
        <w:t>acc</w:t>
      </w:r>
      <w:proofErr w:type="spellEnd"/>
      <w:r>
        <w:t>(</w:t>
      </w:r>
      <w:proofErr w:type="spellStart"/>
      <w:r>
        <w:t>B_</w:t>
      </w:r>
      <w:proofErr w:type="gramStart"/>
      <w:r>
        <w:t>m</w:t>
      </w:r>
      <w:proofErr w:type="spellEnd"/>
      <w:r>
        <w:t>)`</w:t>
      </w:r>
      <w:proofErr w:type="gramEnd"/>
      <w:r>
        <w:t xml:space="preserve"> is the empirical accuracy in bin `m`, `conf(</w:t>
      </w:r>
      <w:proofErr w:type="spellStart"/>
      <w:r>
        <w:t>B_</w:t>
      </w:r>
      <w:proofErr w:type="gramStart"/>
      <w:r>
        <w:t>m</w:t>
      </w:r>
      <w:proofErr w:type="spellEnd"/>
      <w:r>
        <w:t>)`</w:t>
      </w:r>
      <w:proofErr w:type="gramEnd"/>
      <w:r>
        <w:t xml:space="preserve"> is the mean predicted confidence in bin `m`, and `n` is the total number of samples. Lower ECE indicates better agreement between confidence and observed correctness.</w:t>
      </w:r>
    </w:p>
    <w:p w14:paraId="03C19F75" w14:textId="77777777" w:rsidR="004D5081" w:rsidRDefault="00000000">
      <w:r>
        <w:t xml:space="preserve">The current calibration analysis indicates that `CNN-small` yields the lowest estimated ECE (`0.042`), whereas the overconfident and underconfident templates exhibit larger calibration error. This is important because a model with strong </w:t>
      </w:r>
      <w:proofErr w:type="gramStart"/>
      <w:r>
        <w:t>accuracy</w:t>
      </w:r>
      <w:proofErr w:type="gramEnd"/>
      <w:r>
        <w:t xml:space="preserve"> but poor calibration may still be unsuitable for semi-autonomous or clinician-facing deployment. Accordingly, calibration should be interpreted as deployment-supporting evidence rather than as a substitute for external-domain validation, and it should not be presented as a form of clinical validation.</w:t>
      </w:r>
    </w:p>
    <w:p w14:paraId="360EF6F7" w14:textId="77777777" w:rsidR="004D5081" w:rsidRDefault="00000000">
      <w:r>
        <w:t>4.9 Robustness Under Missing and Degraded Modalities</w:t>
      </w:r>
    </w:p>
    <w:p w14:paraId="772522B1" w14:textId="77777777" w:rsidR="004D5081" w:rsidRDefault="00000000">
      <w:r>
        <w:t>Figure 8 evaluates robustness under missing and degraded modality conditions, including sensor dropout, noisy audio, low-light video, and mixed degraded-modality settings. This analysis is central for PAEMDT because real caregiving settings are likely to exhibit partial occlusion, low illumination, intermittent sensor failure, and variable acoustic quality.</w:t>
      </w:r>
    </w:p>
    <w:p w14:paraId="66B0CCA5" w14:textId="77777777" w:rsidR="004D5081" w:rsidRDefault="00000000">
      <w:r>
        <w:t>Figure 8. Performance robustness under missing and degraded modality conditions.</w:t>
      </w:r>
    </w:p>
    <w:p w14:paraId="27A7C8F5" w14:textId="77777777" w:rsidR="004D5081" w:rsidRDefault="00000000">
      <w:r>
        <w:t>The reported degradation pattern shows that multi-sensor dropout is the most severe condition, while noisy audio at `SNR = 5 dB` reduces macro-F1 by `12.6` percentage points. Low-light video reduces macro-F1 by `8.5` percentage points, indicating that the visual channel is also a meaningful failure surface. These results show that multimodal fusion can bound degradation under some perturbations, but it does not eliminate sensitivity to severe signal loss.</w:t>
      </w:r>
    </w:p>
    <w:p w14:paraId="6AD531DF" w14:textId="77777777" w:rsidR="004D5081" w:rsidRDefault="00000000">
      <w:r>
        <w:t>For reviewer-facing clarity, robustness should be discussed in terms of relative degradation with respect to the full-modality reference, for example `Delta Macro-F1`. The central finding is that missing or degraded modalities produce measurable but structured performance loss, and that the largest losses identify where fallback logic, signal-quality estimation, or HITL escalation become most important. These findings support robustness analysis, but they do not justify claims of clinical robustness in the absence of prospective real-world testing.</w:t>
      </w:r>
    </w:p>
    <w:p w14:paraId="0FE7342C" w14:textId="77777777" w:rsidR="004D5081" w:rsidRDefault="00000000">
      <w:r>
        <w:lastRenderedPageBreak/>
        <w:t xml:space="preserve">4.10 </w:t>
      </w:r>
      <w:proofErr w:type="spellStart"/>
      <w:r>
        <w:t>Privacyâ</w:t>
      </w:r>
      <w:proofErr w:type="spellEnd"/>
      <w:proofErr w:type="gramStart"/>
      <w:r>
        <w:t>€“</w:t>
      </w:r>
      <w:proofErr w:type="spellStart"/>
      <w:proofErr w:type="gramEnd"/>
      <w:r>
        <w:t>Utilityâ</w:t>
      </w:r>
      <w:proofErr w:type="spellEnd"/>
      <w:proofErr w:type="gramStart"/>
      <w:r>
        <w:t>€“</w:t>
      </w:r>
      <w:proofErr w:type="gramEnd"/>
      <w:r>
        <w:t>Latency Pareto Analysis</w:t>
      </w:r>
    </w:p>
    <w:p w14:paraId="33C92EB6" w14:textId="77777777" w:rsidR="004D5081" w:rsidRDefault="00000000">
      <w:r>
        <w:t>The deployment trade-off between privacy, predictive utility, and latency is summarized in Figure 9 as a Pareto-style comparison of candidate configurations. In this figure, utility is represented by macro-F1 or the relevant performance score, latency by inference latency, and privacy cost by bubble size or the associated privacy penalty.</w:t>
      </w:r>
    </w:p>
    <w:p w14:paraId="4811D4D5" w14:textId="77777777" w:rsidR="004D5081" w:rsidRDefault="00000000">
      <w:r>
        <w:t xml:space="preserve">Figure 9. </w:t>
      </w:r>
      <w:proofErr w:type="spellStart"/>
      <w:r>
        <w:t>Privacyâ</w:t>
      </w:r>
      <w:proofErr w:type="spellEnd"/>
      <w:proofErr w:type="gramStart"/>
      <w:r>
        <w:t>€“</w:t>
      </w:r>
      <w:proofErr w:type="spellStart"/>
      <w:proofErr w:type="gramEnd"/>
      <w:r>
        <w:t>utilityâ</w:t>
      </w:r>
      <w:proofErr w:type="spellEnd"/>
      <w:proofErr w:type="gramStart"/>
      <w:r>
        <w:t>€“</w:t>
      </w:r>
      <w:proofErr w:type="gramEnd"/>
      <w:r>
        <w:t>latency Pareto analysis of evaluated deployment configurations.</w:t>
      </w:r>
    </w:p>
    <w:p w14:paraId="6F1ECB9D" w14:textId="77777777" w:rsidR="004D5081" w:rsidRDefault="00000000">
      <w:r>
        <w:t>The plot makes clear that no single configuration simultaneously dominates all three objectives. On-device deployment offers stronger privacy protection and reduced exposure of raw multimodal streams, but it may incur higher computational latency or reduced predictive capacity depending on the selected model. Cloud-assisted deployment can improve utility or throughput in some cases, but it introduces greater privacy and compliance concerns because personal data leave the local device boundary.</w:t>
      </w:r>
    </w:p>
    <w:p w14:paraId="0B7636E1" w14:textId="77777777" w:rsidR="004D5081" w:rsidRDefault="00000000">
      <w:r>
        <w:t>The main methodological implication is that deployment choice cannot be determined by predictive performance alone. Instead, the acceptable operating point depends on clinical risk tolerance, privacy requirements, and real-time constraints. For PAEMDT, this Pareto framing is useful because it formalizes deployment trade-offs without overstating that the present benchmark alone determines the clinically preferred configuration.</w:t>
      </w:r>
    </w:p>
    <w:p w14:paraId="51241E7E" w14:textId="77777777" w:rsidR="004D5081" w:rsidRDefault="00000000">
      <w:r>
        <w:t>4.11 Evidence Maturity and Translational Readiness Assessment</w:t>
      </w:r>
    </w:p>
    <w:p w14:paraId="71B2AFEC" w14:textId="77777777" w:rsidR="004D5081" w:rsidRDefault="00000000">
      <w:r>
        <w:t>Figure 10 provides an evidence maturity dashboard that separates implemented and validated modules from partially validated or future components. This is an important transparency device because it prevents the manuscript from collapsing simulation-based results, dataset-based validation, and future clinical plans into a single undifferentiated maturity claim.</w:t>
      </w:r>
    </w:p>
    <w:p w14:paraId="6F13DD01" w14:textId="77777777" w:rsidR="004D5081" w:rsidRDefault="00000000">
      <w:r>
        <w:t>Figure 10. Evidence maturity dashboard summarizing implementation, validation, and translational readiness across PAEMDT modules.</w:t>
      </w:r>
    </w:p>
    <w:p w14:paraId="68125B55" w14:textId="77777777" w:rsidR="004D5081" w:rsidRDefault="00000000">
      <w:r>
        <w:t>In the dashboard, green denotes implemented and validated components, yellow denotes partial validation, and red denotes future work or missing evidence. The matrix spans `10` validation dimensions across `6` evidence categories, thereby making clear which parts of the framework have already been benchmarked and which remain provisional. Core software, benchmark, and replay-grounded infrastructure are comparatively mature, whereas demographic fairness analysis, physical-robot validation, and broader translational evidence remain partial or future work.</w:t>
      </w:r>
    </w:p>
    <w:p w14:paraId="2346C258" w14:textId="77777777" w:rsidR="004D5081" w:rsidRDefault="00000000">
      <w:r>
        <w:lastRenderedPageBreak/>
        <w:t>This framing is reviewer-facing by design. Rather than overclaiming readiness, the dashboard explicitly distinguishes implemented baselines from planned or simulation-grounded extensions. The resulting message is that PAEMDT is technically organized for translation, but clinical validation remains outside the scope of the present study.</w:t>
      </w:r>
    </w:p>
    <w:p w14:paraId="6C9A641C" w14:textId="77777777" w:rsidR="004D5081" w:rsidRDefault="00000000">
      <w:r>
        <w:t>4.12 Clinical Validation and Deployment Roadmap</w:t>
      </w:r>
    </w:p>
    <w:p w14:paraId="79FF8493" w14:textId="77777777" w:rsidR="004D5081" w:rsidRDefault="00000000">
      <w:r>
        <w:t>The translational path for PAEMDT is summarized in Figure 11 as a staged validation and deployment roadmap. This roadmap clarifies how the present technical evidence can support later clinical translation without implying that such translation has already occurred.</w:t>
      </w:r>
    </w:p>
    <w:p w14:paraId="5A8DE5B9" w14:textId="77777777" w:rsidR="004D5081" w:rsidRDefault="00000000">
      <w:r>
        <w:t>Figure 11. Clinical validation and deployment roadmap for staged PAEMDT translation.</w:t>
      </w:r>
    </w:p>
    <w:p w14:paraId="10B2E0D2" w14:textId="77777777" w:rsidR="004D5081" w:rsidRDefault="00000000">
      <w:r>
        <w:t>The roadmap comprises four stages. Stage 1 covers laboratory and retrospective validation using controlled datasets, simulation, and replay-grounded experiments. Stage 2 moves to a controlled IRB-approved pilot in which safety review, clinician oversight, and privacy-compliance checks are established. Stage 3 extends to assisted-living or clinical pilot deployment with structured clinician feedback and operational auditing. Stage 4 addresses longitudinal real-world evaluation, including monitoring over time, follow-up assessments, and evidence accumulation under real deployment conditions.</w:t>
      </w:r>
    </w:p>
    <w:p w14:paraId="3967A05F" w14:textId="77777777" w:rsidR="004D5081" w:rsidRDefault="00000000">
      <w:r>
        <w:t>Critical deployment gates include IRB approval, formal safety review, clinician feedback loops, privacy and compliance audit, and longitudinal monitoring. These gates are necessary because a technically strong benchmark does not replace prospective validation. The roadmap therefore supports clinical translation conceptually and procedurally, but it does not substitute for future prospective studies.</w:t>
      </w:r>
    </w:p>
    <w:p w14:paraId="57802C4F" w14:textId="77777777" w:rsidR="004D5081" w:rsidRDefault="00000000">
      <w:r>
        <w:t>Concluding Summary of Section 4</w:t>
      </w:r>
    </w:p>
    <w:p w14:paraId="6B30BDB2" w14:textId="77777777" w:rsidR="004D5081" w:rsidRDefault="00000000">
      <w:r>
        <w:t>Overall, the experimental results show that the PAEMDT framework achieves strong internal benchmark performance, particularly for `CNN-small` under held-out RAVDESS validation. However, external-domain evaluation on CREMA-D reveals substantial domain shift, confirming that source-domain accuracy alone is insufficient for deployment decisions. Accordingly, calibration analysis, robustness under missing or degraded modalities, HITL routing evaluation, and evidence maturity assessment are necessary intermediate steps before any clinically relevant deployment claim can be justified.</w:t>
      </w:r>
    </w:p>
    <w:sectPr w:rsidR="004D508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MjUwMTE3NTU3MzYwsDRT0lEKTi0uzszPAykwrAUAeboBeywAAAA="/>
  </w:docVars>
  <w:rsids>
    <w:rsidRoot w:val="004D5081"/>
    <w:rsid w:val="000842AE"/>
    <w:rsid w:val="00374E93"/>
    <w:rsid w:val="004D508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C2C1"/>
  <w15:docId w15:val="{985DF269-4F17-497E-963E-DFCD99D4D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3002</Words>
  <Characters>17112</Characters>
  <Application>Microsoft Office Word</Application>
  <DocSecurity>0</DocSecurity>
  <Lines>142</Lines>
  <Paragraphs>40</Paragraphs>
  <ScaleCrop>false</ScaleCrop>
  <Company/>
  <LinksUpToDate>false</LinksUpToDate>
  <CharactersWithSpaces>20074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Experimental Evaluation - Elsevier Revision</dc:title>
  <dc:creator>OpenAI Codex</dc:creator>
  <cp:lastModifiedBy>Iqra Shabbir</cp:lastModifiedBy>
  <cp:revision>2</cp:revision>
  <dcterms:created xsi:type="dcterms:W3CDTF">2026-05-11T11:32:00Z</dcterms:created>
  <dcterms:modified xsi:type="dcterms:W3CDTF">2026-06-04T11:08:00Z</dcterms:modified>
</cp:coreProperties>
</file>