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Experimental Evaluation</w:t>
      </w:r>
    </w:p>
    <w:p>
      <w:pPr>
        <w:pStyle w:val="Heading1"/>
      </w:pPr>
      <w:r>
        <w:t>4.1 Experimental Protocol</w:t>
      </w:r>
    </w:p>
    <w:p>
      <w:pPr>
        <w:spacing w:after="120"/>
      </w:pPr>
      <w:r>
        <w:t>The experimental evaluation was designed to assess predictive performance, cross-domain generalization, calibration quality, robustness under degraded sensing, digital-twin consistency, and deployment-oriented feasibility for the PAEMDT framework. Seven classifiers were considered across three model families: deep models (`CNN-small`, `CNN-batchnorm`), classical models (`RBF-SVM`, `Extra Trees`, `Logistic Regression`, `Random Forest`), and a hybrid model (`hybrid soft-voting`). The extended evaluation further introduced domain adaptation and privacy-preserving training so that the final analysis would not depend on source-domain accuracy alone.</w:t>
      </w:r>
    </w:p>
    <w:p>
      <w:pPr>
        <w:spacing w:after="120"/>
      </w:pPr>
      <w:r>
        <w:t>The protocol followed three stages. First, models were trained and internally developed on the source-domain corpus. Second, held-out validation was performed on RAVDESS to quantify within-domain behavior under a fixed validation split. Third, external-domain evaluation was performed on CREMA-D to quantify performance under cross-corpus distribution shift. This design explicitly separates internal fit from generalization and allows the paper to distinguish between strong validation accuracy and true external-domain robustness.</w:t>
      </w:r>
    </w:p>
    <w:p>
      <w:pPr>
        <w:spacing w:after="120"/>
      </w:pPr>
      <w:r>
        <w:t>All reported experiments used fixed random seeds and reproducible preprocessing where supported by the underlying stack. Tables, figures, and supplementary outputs were generated from repository artifacts rather than hand-entered values. Throughout this section, the results should therefore be interpreted as dataset-based experimental validation and technical deployment evidence, not as evidence of prospective clinical efficacy.</w:t>
      </w:r>
    </w:p>
    <w:p>
      <w:pPr>
        <w:pStyle w:val="Heading1"/>
      </w:pPr>
      <w:r>
        <w:t>4.2 Dataset Composition, Provenance, and Evidence Levels</w:t>
      </w:r>
    </w:p>
    <w:p>
      <w:pPr>
        <w:spacing w:after="120"/>
      </w:pPr>
      <w:r>
        <w:t>RAVDESS was used for internal development and held-out validation, whereas CREMA-D was used only for external-domain evaluation. This separation is methodologically important because it avoids optimistic reuse of the same corpus for both development and generalization claims.</w:t>
      </w:r>
    </w:p>
    <w:p>
      <w:pPr>
        <w:spacing w:after="120"/>
      </w:pPr>
      <w:r>
        <w:t>After 7-to-5 label harmonization, the merged RAVDESS categories were `calm`, `happy`, `sad`, `fearful`, and `angry`. The corresponding training counts were 398, 192, 192, 384, and 672, with held-out validation counts of 100, 48, 48, 96, and 164, respectively. The resulting imbalance ratio was:</w:t>
      </w:r>
    </w:p>
    <w:p>
      <w:pPr>
        <w:spacing w:after="120"/>
      </w:pPr>
      <w:r>
        <w:t>`IR = N_max / N_min = 672 / 192 = 3.50`</w:t>
      </w:r>
    </w:p>
    <w:p>
      <w:pPr>
        <w:spacing w:after="120"/>
      </w:pPr>
      <w:r>
        <w:t>This indicates moderate but non-trivial class imbalance. For this reason, macro-F1 is reported alongside accuracy throughout Section 4, because macro-F1 provides a class-balanced view of performance and is less dominated by the largest class.</w:t>
      </w:r>
    </w:p>
    <w:p>
      <w:pPr>
        <w:pStyle w:val="Heading1"/>
      </w:pPr>
      <w:r>
        <w:t>4.3 Benchmark Models and Evaluation Metrics</w:t>
      </w:r>
    </w:p>
    <w:p>
      <w:pPr>
        <w:spacing w:after="120"/>
      </w:pPr>
      <w:r>
        <w:t>The benchmark family comprised `CNN-small`, `CNN-batchnorm`, `hybrid soft-voting`, `RBF-SVM`, `Extra Trees`, `Logistic Regression`, and `Random Forest`. These models span deep, classical, and hybrid families and provide a useful baseline for understanding which gains are due to source-domain optimization and which gains are due to actual robustness improvements.</w:t>
      </w:r>
    </w:p>
    <w:p>
      <w:pPr>
        <w:spacing w:after="120"/>
      </w:pPr>
      <w:r>
        <w:t>The primary metrics were validation accuracy, external accuracy, validation macro-F1, and external macro-F1. Validation metrics quantify performance on held-out RAVDESS, whereas external metrics quantify performance on CREMA-D. To summarize domain stability, a robustness ratio was computed as:</w:t>
      </w:r>
    </w:p>
    <w:p>
      <w:pPr>
        <w:spacing w:after="120"/>
      </w:pPr>
      <w:r>
        <w:t>`R_k = Acc_k^ext / Acc_k^val`</w:t>
      </w:r>
    </w:p>
    <w:p>
      <w:pPr>
        <w:spacing w:after="120"/>
      </w:pPr>
      <w:r>
        <w:t>where `Acc_k^ext` is the external-domain accuracy of model `k` and `Acc_k^val` is the held-out validation accuracy of the same model. A larger ratio indicates smaller relative degradation under domain transfer. A composite score was also used for model-selection logic so that predictive utility, external robustness, and deployment-oriented considerations could be considered jointly rather than through accuracy alone.</w:t>
      </w:r>
    </w:p>
    <w:p>
      <w:pPr>
        <w:pStyle w:val="Heading1"/>
      </w:pPr>
      <w:r>
        <w:t>4.4 Multi-Algorithm Benchmark Results</w:t>
      </w:r>
    </w:p>
    <w:p>
      <w:pPr>
        <w:spacing w:after="120"/>
      </w:pPr>
      <w:r>
        <w:t>The primary benchmark comparison is reported in Table 4, while the staged domain-adaptation progression is reported in Table 4b and visually summarized in Figure 3. These results show clearly that the original technical challenge was not source-domain fitting but cross-domain failure.</w:t>
      </w:r>
    </w:p>
    <w:p>
      <w:pPr>
        <w:spacing w:after="120"/>
      </w:pPr>
      <w:r>
        <w:t>In the source-only setting, `CNN-small` achieved 97.81% validation accuracy and 0.978 validation macro-F1 on RAVDESS, confirming strong within-domain fit. However, the same model fell to 28.30% external accuracy and 0.251 external macro-F1 on CREMA-D, yielding a 69.51 percentage-point domain gap and a robustness ratio of approximately 0.289. This sharp decline indicates substantial domain shift between the two corpora.</w:t>
      </w:r>
    </w:p>
    <w:p>
      <w:pPr>
        <w:spacing w:after="120"/>
      </w:pPr>
      <w:r>
        <w:t>Domain adaptation altered this pattern substantially. The `CNN-small + DA` configuration achieved 96.85% validation accuracy, 58.43% external accuracy, 0.965 validation macro-F1, and 0.541 external macro-F1, reducing the domain gap to 38.42 percentage points. The privacy-enhanced `CNN-small + DA+DP` configuration retained 95.12% validation accuracy and 62.15% external accuracy, with 0.948 validation macro-F1 and 0.589 external macro-F1, further reducing the gap to 32.97 percentage points.</w:t>
      </w:r>
    </w:p>
    <w:p>
      <w:pPr>
        <w:spacing w:after="120"/>
      </w:pPr>
      <w:r>
        <w:t>Table 4b shows the staged progression explicitly. The source-only baseline reached 28.30% on CREMA-D. `Baseline + GRL only` improved external accuracy to 52.17%. `Baseline + GRL + MMD` improved this further to 58.43%. `Baseline + GRL + MMD + Pseudo-label` reached the strongest external-domain accuracy at 64.28%, reducing the gap to 32.63 percentage points. The `Baseline + DP-SGD (ε=2.3)` variant preserved most of this gain at 62.15%, showing that privacy-preserving training can retain substantial cross-domain utility.</w:t>
      </w:r>
    </w:p>
    <w:p>
      <w:pPr>
        <w:spacing w:after="120"/>
      </w:pPr>
      <w:r>
        <w:t>The main interpretation is that PAEMDT’s enhanced model family does not simply optimize the source-domain benchmark; it materially improves the system’s stability under cross-corpus transfer. This is the most important experimental result in the section because it converts the framework from a strong internal benchmark into a substantially more credible external-domain platform.</w:t>
      </w:r>
    </w:p>
    <w:p>
      <w:pPr>
        <w:jc w:val="center"/>
      </w:pPr>
      <w:r>
        <w:rPr>
          <w:b/>
        </w:rPr>
        <w:t>Table 4. Enhanced multi-algorithm benchmark including domain-adaptation and privacy-preserving variants.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
              <w:rPr>
                <w:b/>
              </w:rPr>
              <w:t>Algorithm</w:t>
            </w:r>
          </w:p>
        </w:tc>
        <w:tc>
          <w:tcPr>
            <w:tcW w:type="dxa" w:w="1170"/>
          </w:tcPr>
          <w:p>
            <w:pPr>
              <w:spacing w:after="0"/>
            </w:pPr>
            <w:r/>
            <w:r>
              <w:rPr>
                <w:b/>
              </w:rPr>
              <w:t>Family</w:t>
            </w:r>
          </w:p>
        </w:tc>
        <w:tc>
          <w:tcPr>
            <w:tcW w:type="dxa" w:w="1170"/>
          </w:tcPr>
          <w:p>
            <w:pPr>
              <w:spacing w:after="0"/>
            </w:pPr>
            <w:r/>
            <w:r>
              <w:rPr>
                <w:b/>
              </w:rPr>
              <w:t>Val Acc</w:t>
            </w:r>
          </w:p>
        </w:tc>
        <w:tc>
          <w:tcPr>
            <w:tcW w:type="dxa" w:w="1170"/>
          </w:tcPr>
          <w:p>
            <w:pPr>
              <w:spacing w:after="0"/>
            </w:pPr>
            <w:r/>
            <w:r>
              <w:rPr>
                <w:b/>
              </w:rPr>
              <w:t>Ext Acc</w:t>
            </w:r>
          </w:p>
        </w:tc>
        <w:tc>
          <w:tcPr>
            <w:tcW w:type="dxa" w:w="1170"/>
          </w:tcPr>
          <w:p>
            <w:pPr>
              <w:spacing w:after="0"/>
            </w:pPr>
            <w:r/>
            <w:r>
              <w:rPr>
                <w:b/>
              </w:rPr>
              <w:t>Val mF1</w:t>
            </w:r>
          </w:p>
        </w:tc>
        <w:tc>
          <w:tcPr>
            <w:tcW w:type="dxa" w:w="1170"/>
          </w:tcPr>
          <w:p>
            <w:pPr>
              <w:spacing w:after="0"/>
            </w:pPr>
            <w:r/>
            <w:r>
              <w:rPr>
                <w:b/>
              </w:rPr>
              <w:t>Ext mF1</w:t>
            </w:r>
          </w:p>
        </w:tc>
        <w:tc>
          <w:tcPr>
            <w:tcW w:type="dxa" w:w="1170"/>
          </w:tcPr>
          <w:p>
            <w:pPr>
              <w:spacing w:after="0"/>
            </w:pPr>
            <w:r/>
            <w:r>
              <w:rPr>
                <w:b/>
              </w:rPr>
              <w:t>Composite</w:t>
            </w:r>
          </w:p>
        </w:tc>
        <w:tc>
          <w:tcPr>
            <w:tcW w:type="dxa" w:w="1170"/>
          </w:tcPr>
          <w:p>
            <w:pPr>
              <w:spacing w:after="0"/>
            </w:pPr>
            <w:r/>
            <w:r>
              <w:rPr>
                <w:b/>
              </w:rPr>
              <w:t>Gap %</w:t>
            </w:r>
          </w:p>
        </w:tc>
      </w:tr>
      <w:tr>
        <w:tc>
          <w:tcPr>
            <w:tcW w:type="dxa" w:w="1170"/>
          </w:tcPr>
          <w:p>
            <w:pPr>
              <w:spacing w:after="0"/>
            </w:pPr>
            <w:r/>
            <w:r>
              <w:rPr>
                <w:b w:val="0"/>
              </w:rPr>
              <w:t>CNN-small</w:t>
            </w:r>
          </w:p>
        </w:tc>
        <w:tc>
          <w:tcPr>
            <w:tcW w:type="dxa" w:w="1170"/>
          </w:tcPr>
          <w:p>
            <w:pPr>
              <w:spacing w:after="0"/>
            </w:pPr>
            <w:r/>
            <w:r>
              <w:rPr>
                <w:b w:val="0"/>
              </w:rPr>
              <w:t>Deep</w:t>
            </w:r>
          </w:p>
        </w:tc>
        <w:tc>
          <w:tcPr>
            <w:tcW w:type="dxa" w:w="1170"/>
          </w:tcPr>
          <w:p>
            <w:pPr>
              <w:spacing w:after="0"/>
            </w:pPr>
            <w:r/>
            <w:r>
              <w:rPr>
                <w:b w:val="0"/>
              </w:rPr>
              <w:t>97.81</w:t>
            </w:r>
          </w:p>
        </w:tc>
        <w:tc>
          <w:tcPr>
            <w:tcW w:type="dxa" w:w="1170"/>
          </w:tcPr>
          <w:p>
            <w:pPr>
              <w:spacing w:after="0"/>
            </w:pPr>
            <w:r/>
            <w:r>
              <w:rPr>
                <w:b w:val="0"/>
              </w:rPr>
              <w:t>28.3</w:t>
            </w:r>
          </w:p>
        </w:tc>
        <w:tc>
          <w:tcPr>
            <w:tcW w:type="dxa" w:w="1170"/>
          </w:tcPr>
          <w:p>
            <w:pPr>
              <w:spacing w:after="0"/>
            </w:pPr>
            <w:r/>
            <w:r>
              <w:rPr>
                <w:b w:val="0"/>
              </w:rPr>
              <w:t>0.978</w:t>
            </w:r>
          </w:p>
        </w:tc>
        <w:tc>
          <w:tcPr>
            <w:tcW w:type="dxa" w:w="1170"/>
          </w:tcPr>
          <w:p>
            <w:pPr>
              <w:spacing w:after="0"/>
            </w:pPr>
            <w:r/>
            <w:r>
              <w:rPr>
                <w:b w:val="0"/>
              </w:rPr>
              <w:t>0.251</w:t>
            </w:r>
          </w:p>
        </w:tc>
        <w:tc>
          <w:tcPr>
            <w:tcW w:type="dxa" w:w="1170"/>
          </w:tcPr>
          <w:p>
            <w:pPr>
              <w:spacing w:after="0"/>
            </w:pPr>
            <w:r/>
            <w:r>
              <w:rPr>
                <w:b w:val="0"/>
              </w:rPr>
              <w:t>0.71</w:t>
            </w:r>
          </w:p>
        </w:tc>
        <w:tc>
          <w:tcPr>
            <w:tcW w:type="dxa" w:w="1170"/>
          </w:tcPr>
          <w:p>
            <w:pPr>
              <w:spacing w:after="0"/>
            </w:pPr>
            <w:r/>
            <w:r>
              <w:rPr>
                <w:b w:val="0"/>
              </w:rPr>
              <w:t>69.51</w:t>
            </w:r>
          </w:p>
        </w:tc>
      </w:tr>
      <w:tr>
        <w:tc>
          <w:tcPr>
            <w:tcW w:type="dxa" w:w="1170"/>
          </w:tcPr>
          <w:p>
            <w:pPr>
              <w:spacing w:after="0"/>
            </w:pPr>
            <w:r/>
            <w:r>
              <w:rPr>
                <w:b w:val="0"/>
              </w:rPr>
              <w:t>CNN-small + DA</w:t>
            </w:r>
          </w:p>
        </w:tc>
        <w:tc>
          <w:tcPr>
            <w:tcW w:type="dxa" w:w="1170"/>
          </w:tcPr>
          <w:p>
            <w:pPr>
              <w:spacing w:after="0"/>
            </w:pPr>
            <w:r/>
            <w:r>
              <w:rPr>
                <w:b w:val="0"/>
              </w:rPr>
              <w:t>Deep</w:t>
            </w:r>
          </w:p>
        </w:tc>
        <w:tc>
          <w:tcPr>
            <w:tcW w:type="dxa" w:w="1170"/>
          </w:tcPr>
          <w:p>
            <w:pPr>
              <w:spacing w:after="0"/>
            </w:pPr>
            <w:r/>
            <w:r>
              <w:rPr>
                <w:b w:val="0"/>
              </w:rPr>
              <w:t>96.85</w:t>
            </w:r>
          </w:p>
        </w:tc>
        <w:tc>
          <w:tcPr>
            <w:tcW w:type="dxa" w:w="1170"/>
          </w:tcPr>
          <w:p>
            <w:pPr>
              <w:spacing w:after="0"/>
            </w:pPr>
            <w:r/>
            <w:r>
              <w:rPr>
                <w:b w:val="0"/>
              </w:rPr>
              <w:t>58.43</w:t>
            </w:r>
          </w:p>
        </w:tc>
        <w:tc>
          <w:tcPr>
            <w:tcW w:type="dxa" w:w="1170"/>
          </w:tcPr>
          <w:p>
            <w:pPr>
              <w:spacing w:after="0"/>
            </w:pPr>
            <w:r/>
            <w:r>
              <w:rPr>
                <w:b w:val="0"/>
              </w:rPr>
              <w:t>0.965</w:t>
            </w:r>
          </w:p>
        </w:tc>
        <w:tc>
          <w:tcPr>
            <w:tcW w:type="dxa" w:w="1170"/>
          </w:tcPr>
          <w:p>
            <w:pPr>
              <w:spacing w:after="0"/>
            </w:pPr>
            <w:r/>
            <w:r>
              <w:rPr>
                <w:b w:val="0"/>
              </w:rPr>
              <w:t>0.541</w:t>
            </w:r>
          </w:p>
        </w:tc>
        <w:tc>
          <w:tcPr>
            <w:tcW w:type="dxa" w:w="1170"/>
          </w:tcPr>
          <w:p>
            <w:pPr>
              <w:spacing w:after="0"/>
            </w:pPr>
            <w:r/>
            <w:r>
              <w:rPr>
                <w:b w:val="0"/>
              </w:rPr>
              <w:t>0.78</w:t>
            </w:r>
          </w:p>
        </w:tc>
        <w:tc>
          <w:tcPr>
            <w:tcW w:type="dxa" w:w="1170"/>
          </w:tcPr>
          <w:p>
            <w:pPr>
              <w:spacing w:after="0"/>
            </w:pPr>
            <w:r/>
            <w:r>
              <w:rPr>
                <w:b w:val="0"/>
              </w:rPr>
              <w:t>38.42</w:t>
            </w:r>
          </w:p>
        </w:tc>
      </w:tr>
      <w:tr>
        <w:tc>
          <w:tcPr>
            <w:tcW w:type="dxa" w:w="1170"/>
          </w:tcPr>
          <w:p>
            <w:pPr>
              <w:spacing w:after="0"/>
            </w:pPr>
            <w:r/>
            <w:r>
              <w:rPr>
                <w:b w:val="0"/>
              </w:rPr>
              <w:t>CNN-small + DA+DP</w:t>
            </w:r>
          </w:p>
        </w:tc>
        <w:tc>
          <w:tcPr>
            <w:tcW w:type="dxa" w:w="1170"/>
          </w:tcPr>
          <w:p>
            <w:pPr>
              <w:spacing w:after="0"/>
            </w:pPr>
            <w:r/>
            <w:r>
              <w:rPr>
                <w:b w:val="0"/>
              </w:rPr>
              <w:t>Deep</w:t>
            </w:r>
          </w:p>
        </w:tc>
        <w:tc>
          <w:tcPr>
            <w:tcW w:type="dxa" w:w="1170"/>
          </w:tcPr>
          <w:p>
            <w:pPr>
              <w:spacing w:after="0"/>
            </w:pPr>
            <w:r/>
            <w:r>
              <w:rPr>
                <w:b w:val="0"/>
              </w:rPr>
              <w:t>95.12</w:t>
            </w:r>
          </w:p>
        </w:tc>
        <w:tc>
          <w:tcPr>
            <w:tcW w:type="dxa" w:w="1170"/>
          </w:tcPr>
          <w:p>
            <w:pPr>
              <w:spacing w:after="0"/>
            </w:pPr>
            <w:r/>
            <w:r>
              <w:rPr>
                <w:b w:val="0"/>
              </w:rPr>
              <w:t>62.15</w:t>
            </w:r>
          </w:p>
        </w:tc>
        <w:tc>
          <w:tcPr>
            <w:tcW w:type="dxa" w:w="1170"/>
          </w:tcPr>
          <w:p>
            <w:pPr>
              <w:spacing w:after="0"/>
            </w:pPr>
            <w:r/>
            <w:r>
              <w:rPr>
                <w:b w:val="0"/>
              </w:rPr>
              <w:t>0.948</w:t>
            </w:r>
          </w:p>
        </w:tc>
        <w:tc>
          <w:tcPr>
            <w:tcW w:type="dxa" w:w="1170"/>
          </w:tcPr>
          <w:p>
            <w:pPr>
              <w:spacing w:after="0"/>
            </w:pPr>
            <w:r/>
            <w:r>
              <w:rPr>
                <w:b w:val="0"/>
              </w:rPr>
              <w:t>0.589</w:t>
            </w:r>
          </w:p>
        </w:tc>
        <w:tc>
          <w:tcPr>
            <w:tcW w:type="dxa" w:w="1170"/>
          </w:tcPr>
          <w:p>
            <w:pPr>
              <w:spacing w:after="0"/>
            </w:pPr>
            <w:r/>
            <w:r>
              <w:rPr>
                <w:b w:val="0"/>
              </w:rPr>
              <w:t>0.76</w:t>
            </w:r>
          </w:p>
        </w:tc>
        <w:tc>
          <w:tcPr>
            <w:tcW w:type="dxa" w:w="1170"/>
          </w:tcPr>
          <w:p>
            <w:pPr>
              <w:spacing w:after="0"/>
            </w:pPr>
            <w:r/>
            <w:r>
              <w:rPr>
                <w:b w:val="0"/>
              </w:rPr>
              <w:t>32.97</w:t>
            </w:r>
          </w:p>
        </w:tc>
      </w:tr>
    </w:tbl>
    <w:p/>
    <w:p>
      <w:pPr>
        <w:jc w:val="center"/>
      </w:pPr>
      <w:r>
        <w:rPr>
          <w:b/>
        </w:rPr>
        <w:t>Table 4b. Domain-adaptation progression from source-only baseline to privacy-preserving enhanced training.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
              <w:rPr>
                <w:b/>
              </w:rPr>
              <w:t>Method</w:t>
            </w:r>
          </w:p>
        </w:tc>
        <w:tc>
          <w:tcPr>
            <w:tcW w:type="dxa" w:w="1872"/>
          </w:tcPr>
          <w:p>
            <w:pPr>
              <w:spacing w:after="0"/>
            </w:pPr>
            <w:r/>
            <w:r>
              <w:rPr>
                <w:b/>
              </w:rPr>
              <w:t>RAVDESS Val</w:t>
            </w:r>
          </w:p>
        </w:tc>
        <w:tc>
          <w:tcPr>
            <w:tcW w:type="dxa" w:w="1872"/>
          </w:tcPr>
          <w:p>
            <w:pPr>
              <w:spacing w:after="0"/>
            </w:pPr>
            <w:r/>
            <w:r>
              <w:rPr>
                <w:b/>
              </w:rPr>
              <w:t>CREMA-D Ext</w:t>
            </w:r>
          </w:p>
        </w:tc>
        <w:tc>
          <w:tcPr>
            <w:tcW w:type="dxa" w:w="1872"/>
          </w:tcPr>
          <w:p>
            <w:pPr>
              <w:spacing w:after="0"/>
            </w:pPr>
            <w:r/>
            <w:r>
              <w:rPr>
                <w:b/>
              </w:rPr>
              <w:t>Gap</w:t>
            </w:r>
          </w:p>
        </w:tc>
        <w:tc>
          <w:tcPr>
            <w:tcW w:type="dxa" w:w="1872"/>
          </w:tcPr>
          <w:p>
            <w:pPr>
              <w:spacing w:after="0"/>
            </w:pPr>
            <w:r/>
            <w:r>
              <w:rPr>
                <w:b/>
              </w:rPr>
              <w:t>ε-DP</w:t>
            </w:r>
          </w:p>
        </w:tc>
      </w:tr>
      <w:tr>
        <w:tc>
          <w:tcPr>
            <w:tcW w:type="dxa" w:w="1872"/>
          </w:tcPr>
          <w:p>
            <w:pPr>
              <w:spacing w:after="0"/>
            </w:pPr>
            <w:r/>
            <w:r>
              <w:rPr>
                <w:b w:val="0"/>
              </w:rPr>
              <w:t>Baseline</w:t>
            </w:r>
          </w:p>
        </w:tc>
        <w:tc>
          <w:tcPr>
            <w:tcW w:type="dxa" w:w="1872"/>
          </w:tcPr>
          <w:p>
            <w:pPr>
              <w:spacing w:after="0"/>
            </w:pPr>
            <w:r/>
            <w:r>
              <w:rPr>
                <w:b w:val="0"/>
              </w:rPr>
              <w:t>97.81</w:t>
            </w:r>
          </w:p>
        </w:tc>
        <w:tc>
          <w:tcPr>
            <w:tcW w:type="dxa" w:w="1872"/>
          </w:tcPr>
          <w:p>
            <w:pPr>
              <w:spacing w:after="0"/>
            </w:pPr>
            <w:r/>
            <w:r>
              <w:rPr>
                <w:b w:val="0"/>
              </w:rPr>
              <w:t>28.3</w:t>
            </w:r>
          </w:p>
        </w:tc>
        <w:tc>
          <w:tcPr>
            <w:tcW w:type="dxa" w:w="1872"/>
          </w:tcPr>
          <w:p>
            <w:pPr>
              <w:spacing w:after="0"/>
            </w:pPr>
            <w:r/>
            <w:r>
              <w:rPr>
                <w:b w:val="0"/>
              </w:rPr>
              <w:t>69.51</w:t>
            </w:r>
          </w:p>
        </w:tc>
        <w:tc>
          <w:tcPr>
            <w:tcW w:type="dxa" w:w="1872"/>
          </w:tcPr>
          <w:p>
            <w:pPr>
              <w:spacing w:after="0"/>
            </w:pPr>
            <w:r/>
            <w:r>
              <w:rPr>
                <w:b w:val="0"/>
              </w:rPr>
              <w:t>—</w:t>
            </w:r>
          </w:p>
        </w:tc>
      </w:tr>
      <w:tr>
        <w:tc>
          <w:tcPr>
            <w:tcW w:type="dxa" w:w="1872"/>
          </w:tcPr>
          <w:p>
            <w:pPr>
              <w:spacing w:after="0"/>
            </w:pPr>
            <w:r/>
            <w:r>
              <w:rPr>
                <w:b w:val="0"/>
              </w:rPr>
              <w:t>Baseline + GRL only</w:t>
            </w:r>
          </w:p>
        </w:tc>
        <w:tc>
          <w:tcPr>
            <w:tcW w:type="dxa" w:w="1872"/>
          </w:tcPr>
          <w:p>
            <w:pPr>
              <w:spacing w:after="0"/>
            </w:pPr>
            <w:r/>
            <w:r>
              <w:rPr>
                <w:b w:val="0"/>
              </w:rPr>
              <w:t>96.42</w:t>
            </w:r>
          </w:p>
        </w:tc>
        <w:tc>
          <w:tcPr>
            <w:tcW w:type="dxa" w:w="1872"/>
          </w:tcPr>
          <w:p>
            <w:pPr>
              <w:spacing w:after="0"/>
            </w:pPr>
            <w:r/>
            <w:r>
              <w:rPr>
                <w:b w:val="0"/>
              </w:rPr>
              <w:t>52.17</w:t>
            </w:r>
          </w:p>
        </w:tc>
        <w:tc>
          <w:tcPr>
            <w:tcW w:type="dxa" w:w="1872"/>
          </w:tcPr>
          <w:p>
            <w:pPr>
              <w:spacing w:after="0"/>
            </w:pPr>
            <w:r/>
            <w:r>
              <w:rPr>
                <w:b w:val="0"/>
              </w:rPr>
              <w:t>44.25</w:t>
            </w:r>
          </w:p>
        </w:tc>
        <w:tc>
          <w:tcPr>
            <w:tcW w:type="dxa" w:w="1872"/>
          </w:tcPr>
          <w:p>
            <w:pPr>
              <w:spacing w:after="0"/>
            </w:pPr>
            <w:r/>
            <w:r>
              <w:rPr>
                <w:b w:val="0"/>
              </w:rPr>
              <w:t>—</w:t>
            </w:r>
          </w:p>
        </w:tc>
      </w:tr>
      <w:tr>
        <w:tc>
          <w:tcPr>
            <w:tcW w:type="dxa" w:w="1872"/>
          </w:tcPr>
          <w:p>
            <w:pPr>
              <w:spacing w:after="0"/>
            </w:pPr>
            <w:r/>
            <w:r>
              <w:rPr>
                <w:b w:val="0"/>
              </w:rPr>
              <w:t>Baseline + GRL + MMD</w:t>
            </w:r>
          </w:p>
        </w:tc>
        <w:tc>
          <w:tcPr>
            <w:tcW w:type="dxa" w:w="1872"/>
          </w:tcPr>
          <w:p>
            <w:pPr>
              <w:spacing w:after="0"/>
            </w:pPr>
            <w:r/>
            <w:r>
              <w:rPr>
                <w:b w:val="0"/>
              </w:rPr>
              <w:t>96.85</w:t>
            </w:r>
          </w:p>
        </w:tc>
        <w:tc>
          <w:tcPr>
            <w:tcW w:type="dxa" w:w="1872"/>
          </w:tcPr>
          <w:p>
            <w:pPr>
              <w:spacing w:after="0"/>
            </w:pPr>
            <w:r/>
            <w:r>
              <w:rPr>
                <w:b w:val="0"/>
              </w:rPr>
              <w:t>58.43</w:t>
            </w:r>
          </w:p>
        </w:tc>
        <w:tc>
          <w:tcPr>
            <w:tcW w:type="dxa" w:w="1872"/>
          </w:tcPr>
          <w:p>
            <w:pPr>
              <w:spacing w:after="0"/>
            </w:pPr>
            <w:r/>
            <w:r>
              <w:rPr>
                <w:b w:val="0"/>
              </w:rPr>
              <w:t>38.42</w:t>
            </w:r>
          </w:p>
        </w:tc>
        <w:tc>
          <w:tcPr>
            <w:tcW w:type="dxa" w:w="1872"/>
          </w:tcPr>
          <w:p>
            <w:pPr>
              <w:spacing w:after="0"/>
            </w:pPr>
            <w:r/>
            <w:r>
              <w:rPr>
                <w:b w:val="0"/>
              </w:rPr>
              <w:t>—</w:t>
            </w:r>
          </w:p>
        </w:tc>
      </w:tr>
      <w:tr>
        <w:tc>
          <w:tcPr>
            <w:tcW w:type="dxa" w:w="1872"/>
          </w:tcPr>
          <w:p>
            <w:pPr>
              <w:spacing w:after="0"/>
            </w:pPr>
            <w:r/>
            <w:r>
              <w:rPr>
                <w:b w:val="0"/>
              </w:rPr>
              <w:t>Baseline + GRL + MMD + Pseudo-label</w:t>
            </w:r>
          </w:p>
        </w:tc>
        <w:tc>
          <w:tcPr>
            <w:tcW w:type="dxa" w:w="1872"/>
          </w:tcPr>
          <w:p>
            <w:pPr>
              <w:spacing w:after="0"/>
            </w:pPr>
            <w:r/>
            <w:r>
              <w:rPr>
                <w:b w:val="0"/>
              </w:rPr>
              <w:t>96.91</w:t>
            </w:r>
          </w:p>
        </w:tc>
        <w:tc>
          <w:tcPr>
            <w:tcW w:type="dxa" w:w="1872"/>
          </w:tcPr>
          <w:p>
            <w:pPr>
              <w:spacing w:after="0"/>
            </w:pPr>
            <w:r/>
            <w:r>
              <w:rPr>
                <w:b w:val="0"/>
              </w:rPr>
              <w:t>64.28</w:t>
            </w:r>
          </w:p>
        </w:tc>
        <w:tc>
          <w:tcPr>
            <w:tcW w:type="dxa" w:w="1872"/>
          </w:tcPr>
          <w:p>
            <w:pPr>
              <w:spacing w:after="0"/>
            </w:pPr>
            <w:r/>
            <w:r>
              <w:rPr>
                <w:b w:val="0"/>
              </w:rPr>
              <w:t>32.63</w:t>
            </w:r>
          </w:p>
        </w:tc>
        <w:tc>
          <w:tcPr>
            <w:tcW w:type="dxa" w:w="1872"/>
          </w:tcPr>
          <w:p>
            <w:pPr>
              <w:spacing w:after="0"/>
            </w:pPr>
            <w:r/>
            <w:r>
              <w:rPr>
                <w:b w:val="0"/>
              </w:rPr>
              <w:t>—</w:t>
            </w:r>
          </w:p>
        </w:tc>
      </w:tr>
      <w:tr>
        <w:tc>
          <w:tcPr>
            <w:tcW w:type="dxa" w:w="1872"/>
          </w:tcPr>
          <w:p>
            <w:pPr>
              <w:spacing w:after="0"/>
            </w:pPr>
            <w:r/>
            <w:r>
              <w:rPr>
                <w:b w:val="0"/>
              </w:rPr>
              <w:t>Baseline + DP-SGD (ε=2.3)</w:t>
            </w:r>
          </w:p>
        </w:tc>
        <w:tc>
          <w:tcPr>
            <w:tcW w:type="dxa" w:w="1872"/>
          </w:tcPr>
          <w:p>
            <w:pPr>
              <w:spacing w:after="0"/>
            </w:pPr>
            <w:r/>
            <w:r>
              <w:rPr>
                <w:b w:val="0"/>
              </w:rPr>
              <w:t>95.12</w:t>
            </w:r>
          </w:p>
        </w:tc>
        <w:tc>
          <w:tcPr>
            <w:tcW w:type="dxa" w:w="1872"/>
          </w:tcPr>
          <w:p>
            <w:pPr>
              <w:spacing w:after="0"/>
            </w:pPr>
            <w:r/>
            <w:r>
              <w:rPr>
                <w:b w:val="0"/>
              </w:rPr>
              <w:t>62.15</w:t>
            </w:r>
          </w:p>
        </w:tc>
        <w:tc>
          <w:tcPr>
            <w:tcW w:type="dxa" w:w="1872"/>
          </w:tcPr>
          <w:p>
            <w:pPr>
              <w:spacing w:after="0"/>
            </w:pPr>
            <w:r/>
            <w:r>
              <w:rPr>
                <w:b w:val="0"/>
              </w:rPr>
              <w:t>32.97</w:t>
            </w:r>
          </w:p>
        </w:tc>
        <w:tc>
          <w:tcPr>
            <w:tcW w:type="dxa" w:w="1872"/>
          </w:tcPr>
          <w:p>
            <w:pPr>
              <w:spacing w:after="0"/>
            </w:pPr>
            <w:r/>
            <w:r>
              <w:rPr>
                <w:b w:val="0"/>
              </w:rPr>
              <w:t>2.3</w:t>
            </w:r>
          </w:p>
        </w:tc>
      </w:tr>
    </w:tbl>
    <w:p/>
    <w:p>
      <w:pPr>
        <w:pStyle w:val="Heading1"/>
      </w:pPr>
      <w:r>
        <w:t>4.5 Production Baseline Configuration and Model-Selection Logic</w:t>
      </w:r>
    </w:p>
    <w:p>
      <w:pPr>
        <w:spacing w:after="120"/>
      </w:pPr>
      <w:r>
        <w:t>For repository-aligned deployment experiments, `CNN-small` remained the production baseline because it provided the strongest held-out validation accuracy, the strongest held-out macro-F1, and the highest source-only composite score among the original seven-model benchmark family. However, the extended results show that internal accuracy is not sufficient as a deployment criterion.</w:t>
      </w:r>
    </w:p>
    <w:p>
      <w:pPr>
        <w:spacing w:after="120"/>
      </w:pPr>
      <w:r>
        <w:t>The composite score changed meaningfully after domain adaptation was introduced. The source-only `CNN-small` baseline achieved a composite score of 0.71. The domain-adapted model improved this to 0.78, and the privacy-enhanced domain-adapted model retained a strong score of 0.76. Accordingly, the source-only baseline remains useful as an internal benchmark and ablation reference, but the domain-adapted configurations are stronger deployment candidates because they improve external robustness while preserving high validation performance.</w:t>
      </w:r>
    </w:p>
    <w:p>
      <w:pPr>
        <w:spacing w:after="120"/>
      </w:pPr>
      <w:r>
        <w:t>This model-selection logic is intentionally multi-criteria. Accuracy alone is insufficient because a model may validate strongly on RAVDESS while showing weak external robustness, poor calibration, unfavorable privacy behavior, or latency penalties that make it less suitable for real deployment.</w:t>
      </w:r>
    </w:p>
    <w:p>
      <w:pPr>
        <w:pStyle w:val="Heading1"/>
      </w:pPr>
      <w:r>
        <w:t>4.6 Ablation and Component Contribution Analysis</w:t>
      </w:r>
    </w:p>
    <w:p>
      <w:pPr>
        <w:spacing w:after="120"/>
      </w:pPr>
      <w:r>
        <w:t>The component-wise ablation analysis is summarized in Table 5 and interpreted through the predictive and HITL contribution views in Figure 5a and Figure 5b. The full system (`ABL0`) achieved 97.81% validation accuracy, 0.89 KG faithfulness, and 0.94 HITL precision.</w:t>
      </w:r>
    </w:p>
    <w:p>
      <w:pPr>
        <w:spacing w:after="120"/>
      </w:pPr>
      <w:r>
        <w:t>Removing KG grounding (`ABL1`) left validation accuracy nearly unchanged at 97.78% but reduced KG faithfulness to 0.27, showing that explanation quality collapses even when predictive accuracy remains stable. Removing the speech branch (`ABL2`) reduced validation accuracy to 90.12%, indicating that the speech pathway contributes materially to affect evidence. Removing the digital twin (`ABL3`) preserved high validation accuracy at 97.80% but reduced HITL precision to 0.87, showing that routing quality degrades when temporal state tracking is removed.</w:t>
      </w:r>
    </w:p>
    <w:p>
      <w:pPr>
        <w:spacing w:after="120"/>
      </w:pPr>
      <w:r>
        <w:t>Removing cross-attention (`ABL4`) lowered validation accuracy to 94.41%, corresponding to a 3.4 percentage-point drop relative to the full system. Removing the HITL gate (`ABL5`) yielded an operationally unacceptable configuration in which 6.3% of urgent cases remained unrouted, and the row is therefore marked `UNSAFE` instead of being treated as a simple precision decrease. Finally, removing the privacy gate (`ABL6`) preserved strong predictive behavior at 97.79% validation accuracy and 0.94 HITL precision, but this came at the cost of privacy-policy violation, which is why the finding is not interpreted as a performance improvement.</w:t>
      </w:r>
    </w:p>
    <w:p>
      <w:pPr>
        <w:spacing w:after="120"/>
      </w:pPr>
      <w:r>
        <w:t>The ablation results therefore show that different components support different forms of system quality. KG grounding supports explanation faithfulness, speech and fusion support predictive robustness, the digital twin supports routing quality, the HITL gate supports safety, and the privacy layer supports deployment acceptability.</w:t>
      </w:r>
    </w:p>
    <w:p>
      <w:pPr>
        <w:jc w:val="center"/>
      </w:pPr>
      <w:r>
        <w:rPr>
          <w:b/>
        </w:rPr>
        <w:t>Table 5. Component-wise ablation analysis of the PAEMDT framework.</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Config</w:t>
            </w:r>
          </w:p>
        </w:tc>
        <w:tc>
          <w:tcPr>
            <w:tcW w:type="dxa" w:w="1560"/>
          </w:tcPr>
          <w:p>
            <w:pPr>
              <w:spacing w:after="0"/>
            </w:pPr>
            <w:r/>
            <w:r>
              <w:rPr>
                <w:b/>
              </w:rPr>
              <w:t>Removed</w:t>
            </w:r>
          </w:p>
        </w:tc>
        <w:tc>
          <w:tcPr>
            <w:tcW w:type="dxa" w:w="1560"/>
          </w:tcPr>
          <w:p>
            <w:pPr>
              <w:spacing w:after="0"/>
            </w:pPr>
            <w:r/>
            <w:r>
              <w:rPr>
                <w:b/>
              </w:rPr>
              <w:t>Val Acc</w:t>
            </w:r>
          </w:p>
        </w:tc>
        <w:tc>
          <w:tcPr>
            <w:tcW w:type="dxa" w:w="1560"/>
          </w:tcPr>
          <w:p>
            <w:pPr>
              <w:spacing w:after="0"/>
            </w:pPr>
            <w:r/>
            <w:r>
              <w:rPr>
                <w:b/>
              </w:rPr>
              <w:t>KG Faith.</w:t>
            </w:r>
          </w:p>
        </w:tc>
        <w:tc>
          <w:tcPr>
            <w:tcW w:type="dxa" w:w="1560"/>
          </w:tcPr>
          <w:p>
            <w:pPr>
              <w:spacing w:after="0"/>
            </w:pPr>
            <w:r/>
            <w:r>
              <w:rPr>
                <w:b/>
              </w:rPr>
              <w:t>HITL Prec.</w:t>
            </w:r>
          </w:p>
        </w:tc>
        <w:tc>
          <w:tcPr>
            <w:tcW w:type="dxa" w:w="1560"/>
          </w:tcPr>
          <w:p>
            <w:pPr>
              <w:spacing w:after="0"/>
            </w:pPr>
            <w:r/>
            <w:r>
              <w:rPr>
                <w:b/>
              </w:rPr>
              <w:t>Finding</w:t>
            </w:r>
          </w:p>
        </w:tc>
      </w:tr>
      <w:tr>
        <w:tc>
          <w:tcPr>
            <w:tcW w:type="dxa" w:w="1560"/>
          </w:tcPr>
          <w:p>
            <w:pPr>
              <w:spacing w:after="0"/>
            </w:pPr>
            <w:r/>
            <w:r>
              <w:rPr>
                <w:b w:val="0"/>
              </w:rPr>
              <w:t>ABL0</w:t>
            </w:r>
          </w:p>
        </w:tc>
        <w:tc>
          <w:tcPr>
            <w:tcW w:type="dxa" w:w="1560"/>
          </w:tcPr>
          <w:p>
            <w:pPr>
              <w:spacing w:after="0"/>
            </w:pPr>
            <w:r/>
            <w:r>
              <w:rPr>
                <w:b w:val="0"/>
              </w:rPr>
              <w:t>None</w:t>
            </w:r>
          </w:p>
        </w:tc>
        <w:tc>
          <w:tcPr>
            <w:tcW w:type="dxa" w:w="1560"/>
          </w:tcPr>
          <w:p>
            <w:pPr>
              <w:spacing w:after="0"/>
            </w:pPr>
            <w:r/>
            <w:r>
              <w:rPr>
                <w:b w:val="0"/>
              </w:rPr>
              <w:t>97.81</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Baseline</w:t>
            </w:r>
          </w:p>
        </w:tc>
      </w:tr>
      <w:tr>
        <w:tc>
          <w:tcPr>
            <w:tcW w:type="dxa" w:w="1560"/>
          </w:tcPr>
          <w:p>
            <w:pPr>
              <w:spacing w:after="0"/>
            </w:pPr>
            <w:r/>
            <w:r>
              <w:rPr>
                <w:b w:val="0"/>
              </w:rPr>
              <w:t>ABL1</w:t>
            </w:r>
          </w:p>
        </w:tc>
        <w:tc>
          <w:tcPr>
            <w:tcW w:type="dxa" w:w="1560"/>
          </w:tcPr>
          <w:p>
            <w:pPr>
              <w:spacing w:after="0"/>
            </w:pPr>
            <w:r/>
            <w:r>
              <w:rPr>
                <w:b w:val="0"/>
              </w:rPr>
              <w:t>KG grounding</w:t>
            </w:r>
          </w:p>
        </w:tc>
        <w:tc>
          <w:tcPr>
            <w:tcW w:type="dxa" w:w="1560"/>
          </w:tcPr>
          <w:p>
            <w:pPr>
              <w:spacing w:after="0"/>
            </w:pPr>
            <w:r/>
            <w:r>
              <w:rPr>
                <w:b w:val="0"/>
              </w:rPr>
              <w:t>97.78</w:t>
            </w:r>
          </w:p>
        </w:tc>
        <w:tc>
          <w:tcPr>
            <w:tcW w:type="dxa" w:w="1560"/>
          </w:tcPr>
          <w:p>
            <w:pPr>
              <w:spacing w:after="0"/>
            </w:pPr>
            <w:r/>
            <w:r>
              <w:rPr>
                <w:b w:val="0"/>
              </w:rPr>
              <w:t>0.27</w:t>
            </w:r>
          </w:p>
        </w:tc>
        <w:tc>
          <w:tcPr>
            <w:tcW w:type="dxa" w:w="1560"/>
          </w:tcPr>
          <w:p>
            <w:pPr>
              <w:spacing w:after="0"/>
            </w:pPr>
            <w:r/>
            <w:r>
              <w:rPr>
                <w:b w:val="0"/>
              </w:rPr>
              <w:t>0.91</w:t>
            </w:r>
          </w:p>
        </w:tc>
        <w:tc>
          <w:tcPr>
            <w:tcW w:type="dxa" w:w="1560"/>
          </w:tcPr>
          <w:p>
            <w:pPr>
              <w:spacing w:after="0"/>
            </w:pPr>
            <w:r/>
            <w:r>
              <w:rPr>
                <w:b w:val="0"/>
              </w:rPr>
              <w:t>Faithfulness collapses</w:t>
            </w:r>
          </w:p>
        </w:tc>
      </w:tr>
      <w:tr>
        <w:tc>
          <w:tcPr>
            <w:tcW w:type="dxa" w:w="1560"/>
          </w:tcPr>
          <w:p>
            <w:pPr>
              <w:spacing w:after="0"/>
            </w:pPr>
            <w:r/>
            <w:r>
              <w:rPr>
                <w:b w:val="0"/>
              </w:rPr>
              <w:t>ABL2</w:t>
            </w:r>
          </w:p>
        </w:tc>
        <w:tc>
          <w:tcPr>
            <w:tcW w:type="dxa" w:w="1560"/>
          </w:tcPr>
          <w:p>
            <w:pPr>
              <w:spacing w:after="0"/>
            </w:pPr>
            <w:r/>
            <w:r>
              <w:rPr>
                <w:b w:val="0"/>
              </w:rPr>
              <w:t>Speech</w:t>
            </w:r>
          </w:p>
        </w:tc>
        <w:tc>
          <w:tcPr>
            <w:tcW w:type="dxa" w:w="1560"/>
          </w:tcPr>
          <w:p>
            <w:pPr>
              <w:spacing w:after="0"/>
            </w:pPr>
            <w:r/>
            <w:r>
              <w:rPr>
                <w:b w:val="0"/>
              </w:rPr>
              <w:t>90.12</w:t>
            </w:r>
          </w:p>
        </w:tc>
        <w:tc>
          <w:tcPr>
            <w:tcW w:type="dxa" w:w="1560"/>
          </w:tcPr>
          <w:p>
            <w:pPr>
              <w:spacing w:after="0"/>
            </w:pPr>
            <w:r/>
            <w:r>
              <w:rPr>
                <w:b w:val="0"/>
              </w:rPr>
              <w:t>0.89</w:t>
            </w:r>
          </w:p>
        </w:tc>
        <w:tc>
          <w:tcPr>
            <w:tcW w:type="dxa" w:w="1560"/>
          </w:tcPr>
          <w:p>
            <w:pPr>
              <w:spacing w:after="0"/>
            </w:pPr>
            <w:r/>
            <w:r>
              <w:rPr>
                <w:b w:val="0"/>
              </w:rPr>
              <w:t>0.91</w:t>
            </w:r>
          </w:p>
        </w:tc>
        <w:tc>
          <w:tcPr>
            <w:tcW w:type="dxa" w:w="1560"/>
          </w:tcPr>
          <w:p>
            <w:pPr>
              <w:spacing w:after="0"/>
            </w:pPr>
            <w:r/>
            <w:r>
              <w:rPr>
                <w:b w:val="0"/>
              </w:rPr>
              <w:t>7.7pp drop</w:t>
            </w:r>
          </w:p>
        </w:tc>
      </w:tr>
      <w:tr>
        <w:tc>
          <w:tcPr>
            <w:tcW w:type="dxa" w:w="1560"/>
          </w:tcPr>
          <w:p>
            <w:pPr>
              <w:spacing w:after="0"/>
            </w:pPr>
            <w:r/>
            <w:r>
              <w:rPr>
                <w:b w:val="0"/>
              </w:rPr>
              <w:t>ABL3</w:t>
            </w:r>
          </w:p>
        </w:tc>
        <w:tc>
          <w:tcPr>
            <w:tcW w:type="dxa" w:w="1560"/>
          </w:tcPr>
          <w:p>
            <w:pPr>
              <w:spacing w:after="0"/>
            </w:pPr>
            <w:r/>
            <w:r>
              <w:rPr>
                <w:b w:val="0"/>
              </w:rPr>
              <w:t>Digital twin</w:t>
            </w:r>
          </w:p>
        </w:tc>
        <w:tc>
          <w:tcPr>
            <w:tcW w:type="dxa" w:w="1560"/>
          </w:tcPr>
          <w:p>
            <w:pPr>
              <w:spacing w:after="0"/>
            </w:pPr>
            <w:r/>
            <w:r>
              <w:rPr>
                <w:b w:val="0"/>
              </w:rPr>
              <w:t>97.8</w:t>
            </w:r>
          </w:p>
        </w:tc>
        <w:tc>
          <w:tcPr>
            <w:tcW w:type="dxa" w:w="1560"/>
          </w:tcPr>
          <w:p>
            <w:pPr>
              <w:spacing w:after="0"/>
            </w:pPr>
            <w:r/>
            <w:r>
              <w:rPr>
                <w:b w:val="0"/>
              </w:rPr>
              <w:t>0.89</w:t>
            </w:r>
          </w:p>
        </w:tc>
        <w:tc>
          <w:tcPr>
            <w:tcW w:type="dxa" w:w="1560"/>
          </w:tcPr>
          <w:p>
            <w:pPr>
              <w:spacing w:after="0"/>
            </w:pPr>
            <w:r/>
            <w:r>
              <w:rPr>
                <w:b w:val="0"/>
              </w:rPr>
              <w:t>0.87</w:t>
            </w:r>
          </w:p>
        </w:tc>
        <w:tc>
          <w:tcPr>
            <w:tcW w:type="dxa" w:w="1560"/>
          </w:tcPr>
          <w:p>
            <w:pPr>
              <w:spacing w:after="0"/>
            </w:pPr>
            <w:r/>
            <w:r>
              <w:rPr>
                <w:b w:val="0"/>
              </w:rPr>
              <w:t>Routing degrades</w:t>
            </w:r>
          </w:p>
        </w:tc>
      </w:tr>
      <w:tr>
        <w:tc>
          <w:tcPr>
            <w:tcW w:type="dxa" w:w="1560"/>
          </w:tcPr>
          <w:p>
            <w:pPr>
              <w:spacing w:after="0"/>
            </w:pPr>
            <w:r/>
            <w:r>
              <w:rPr>
                <w:b w:val="0"/>
              </w:rPr>
              <w:t>ABL4</w:t>
            </w:r>
          </w:p>
        </w:tc>
        <w:tc>
          <w:tcPr>
            <w:tcW w:type="dxa" w:w="1560"/>
          </w:tcPr>
          <w:p>
            <w:pPr>
              <w:spacing w:after="0"/>
            </w:pPr>
            <w:r/>
            <w:r>
              <w:rPr>
                <w:b w:val="0"/>
              </w:rPr>
              <w:t>Cross-attention</w:t>
            </w:r>
          </w:p>
        </w:tc>
        <w:tc>
          <w:tcPr>
            <w:tcW w:type="dxa" w:w="1560"/>
          </w:tcPr>
          <w:p>
            <w:pPr>
              <w:spacing w:after="0"/>
            </w:pPr>
            <w:r/>
            <w:r>
              <w:rPr>
                <w:b w:val="0"/>
              </w:rPr>
              <w:t>94.41</w:t>
            </w:r>
          </w:p>
        </w:tc>
        <w:tc>
          <w:tcPr>
            <w:tcW w:type="dxa" w:w="1560"/>
          </w:tcPr>
          <w:p>
            <w:pPr>
              <w:spacing w:after="0"/>
            </w:pPr>
            <w:r/>
            <w:r>
              <w:rPr>
                <w:b w:val="0"/>
              </w:rPr>
              <w:t>0.89</w:t>
            </w:r>
          </w:p>
        </w:tc>
        <w:tc>
          <w:tcPr>
            <w:tcW w:type="dxa" w:w="1560"/>
          </w:tcPr>
          <w:p>
            <w:pPr>
              <w:spacing w:after="0"/>
            </w:pPr>
            <w:r/>
            <w:r>
              <w:rPr>
                <w:b w:val="0"/>
              </w:rPr>
              <w:t>0.89</w:t>
            </w:r>
          </w:p>
        </w:tc>
        <w:tc>
          <w:tcPr>
            <w:tcW w:type="dxa" w:w="1560"/>
          </w:tcPr>
          <w:p>
            <w:pPr>
              <w:spacing w:after="0"/>
            </w:pPr>
            <w:r/>
            <w:r>
              <w:rPr>
                <w:b w:val="0"/>
              </w:rPr>
              <w:t>3.4pp drop</w:t>
            </w:r>
          </w:p>
        </w:tc>
      </w:tr>
      <w:tr>
        <w:tc>
          <w:tcPr>
            <w:tcW w:type="dxa" w:w="1560"/>
          </w:tcPr>
          <w:p>
            <w:pPr>
              <w:spacing w:after="0"/>
            </w:pPr>
            <w:r/>
            <w:r>
              <w:rPr>
                <w:b w:val="0"/>
              </w:rPr>
              <w:t>ABL5</w:t>
            </w:r>
          </w:p>
        </w:tc>
        <w:tc>
          <w:tcPr>
            <w:tcW w:type="dxa" w:w="1560"/>
          </w:tcPr>
          <w:p>
            <w:pPr>
              <w:spacing w:after="0"/>
            </w:pPr>
            <w:r/>
            <w:r>
              <w:rPr>
                <w:b w:val="0"/>
              </w:rPr>
              <w:t>HITL gate</w:t>
            </w:r>
          </w:p>
        </w:tc>
        <w:tc>
          <w:tcPr>
            <w:tcW w:type="dxa" w:w="1560"/>
          </w:tcPr>
          <w:p>
            <w:pPr>
              <w:spacing w:after="0"/>
            </w:pPr>
            <w:r/>
            <w:r>
              <w:rPr>
                <w:b w:val="0"/>
              </w:rPr>
              <w:t>97.78</w:t>
            </w:r>
          </w:p>
        </w:tc>
        <w:tc>
          <w:tcPr>
            <w:tcW w:type="dxa" w:w="1560"/>
          </w:tcPr>
          <w:p>
            <w:pPr>
              <w:spacing w:after="0"/>
            </w:pPr>
            <w:r/>
            <w:r>
              <w:rPr>
                <w:b w:val="0"/>
              </w:rPr>
              <w:t>0.89</w:t>
            </w:r>
          </w:p>
        </w:tc>
        <w:tc>
          <w:tcPr>
            <w:tcW w:type="dxa" w:w="1560"/>
          </w:tcPr>
          <w:p>
            <w:pPr>
              <w:spacing w:after="0"/>
            </w:pPr>
            <w:r/>
            <w:r>
              <w:rPr>
                <w:b w:val="0"/>
              </w:rPr>
              <w:t>UNSAFE</w:t>
            </w:r>
          </w:p>
        </w:tc>
        <w:tc>
          <w:tcPr>
            <w:tcW w:type="dxa" w:w="1560"/>
          </w:tcPr>
          <w:p>
            <w:pPr>
              <w:spacing w:after="0"/>
            </w:pPr>
            <w:r/>
            <w:r>
              <w:rPr>
                <w:b w:val="0"/>
              </w:rPr>
              <w:t>6.3% urgent unrouted</w:t>
            </w:r>
          </w:p>
        </w:tc>
      </w:tr>
      <w:tr>
        <w:tc>
          <w:tcPr>
            <w:tcW w:type="dxa" w:w="1560"/>
          </w:tcPr>
          <w:p>
            <w:pPr>
              <w:spacing w:after="0"/>
            </w:pPr>
            <w:r/>
            <w:r>
              <w:rPr>
                <w:b w:val="0"/>
              </w:rPr>
              <w:t>ABL6</w:t>
            </w:r>
          </w:p>
        </w:tc>
        <w:tc>
          <w:tcPr>
            <w:tcW w:type="dxa" w:w="1560"/>
          </w:tcPr>
          <w:p>
            <w:pPr>
              <w:spacing w:after="0"/>
            </w:pPr>
            <w:r/>
            <w:r>
              <w:rPr>
                <w:b w:val="0"/>
              </w:rPr>
              <w:t>Privacy gate</w:t>
            </w:r>
          </w:p>
        </w:tc>
        <w:tc>
          <w:tcPr>
            <w:tcW w:type="dxa" w:w="1560"/>
          </w:tcPr>
          <w:p>
            <w:pPr>
              <w:spacing w:after="0"/>
            </w:pPr>
            <w:r/>
            <w:r>
              <w:rPr>
                <w:b w:val="0"/>
              </w:rPr>
              <w:t>97.79</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Privacy violated</w:t>
            </w:r>
          </w:p>
        </w:tc>
      </w:tr>
    </w:tbl>
    <w:p/>
    <w:p>
      <w:pPr>
        <w:pStyle w:val="Heading1"/>
      </w:pPr>
      <w:r>
        <w:t>4.7 Statistical Reliability and Confidence Analysis</w:t>
      </w:r>
    </w:p>
    <w:p>
      <w:pPr>
        <w:spacing w:after="120"/>
      </w:pPr>
      <w:r>
        <w:t>To move beyond a single train-validation split, repeated 5 x 10 cross-validation was incorporated into the validation workflow. This yields 50 repeated runs and provides a more stable estimate of generalization behavior than a single favorable split.</w:t>
      </w:r>
    </w:p>
    <w:p>
      <w:pPr>
        <w:spacing w:after="120"/>
      </w:pPr>
      <w:r>
        <w:t>For the enhanced `CNN-small` configuration, the reported 95% confidence interval for validation accuracy was [95.6%, 98.0%], indicating that held-out source-domain performance remained consistently high across repeated resampling. This supports the interpretation that the reported validation gains are not merely due to a favorable partition.</w:t>
      </w:r>
    </w:p>
    <w:p>
      <w:pPr>
        <w:spacing w:after="120"/>
      </w:pPr>
      <w:r>
        <w:t>Pairwise comparison with the source-only baseline was assessed using the Wilcoxon signed-rank test. The enhanced domain-adapted configuration significantly outperformed the baseline (`p &lt; 0.001`), and the corresponding Cohen’s `d = 1.24` indicated a large practical effect. These results strengthen the reliability of the observed improvement, but the external-domain results remain the more important deployment signal because domain transfer rather than source-domain variance is the central challenge in PAEMDT.</w:t>
      </w:r>
    </w:p>
    <w:p>
      <w:pPr>
        <w:pStyle w:val="Heading1"/>
      </w:pPr>
      <w:r>
        <w:t>4.8 Calibration and Uncertainty Analysis</w:t>
      </w:r>
    </w:p>
    <w:p>
      <w:pPr>
        <w:spacing w:after="120"/>
      </w:pPr>
      <w:r>
        <w:t>Calibration was evaluated using reliability curves and expected calibration error. The enhanced configuration achieved `ECE = 0.041`, compared with `ECE = 0.089` for the baseline, indicating substantially better agreement between predicted confidence and empirical correctness. The maximum calibration error was `MCE = 0.087`, showing that even the worst-case bin-level deviation remained bounded.</w:t>
      </w:r>
    </w:p>
    <w:p>
      <w:pPr>
        <w:spacing w:after="120"/>
      </w:pPr>
      <w:r>
        <w:t>This result matters because confidence values affect autonomous action, caregiver review, and urgent escalation decisions. A model that is accurate but poorly calibrated can still be unsafe if confidence is systematically overstated. The enhanced reliability curve therefore supports the broader deployment claim by showing that the improved model is not only stronger under domain shift, but also more trustworthy in its confidence behavior.</w:t>
      </w:r>
    </w:p>
    <w:p>
      <w:pPr>
        <w:pStyle w:val="Heading1"/>
      </w:pPr>
      <w:r>
        <w:t>4.9 Robustness Under Missing and Degraded Modalities</w:t>
      </w:r>
    </w:p>
    <w:p>
      <w:pPr>
        <w:spacing w:after="120"/>
      </w:pPr>
      <w:r>
        <w:t>The missing-modality robustness benchmark was expanded from a simple macro-F1 plot into an escalation-aware stress test. The policy thresholds were defined as follows: `Macro-F1 &gt;= 0.85` supports autonomous action, `0.70 &lt;= Macro-F1 &lt; 0.85` triggers caregiver review, and `Macro-F1 &lt; 0.70` triggers emergency escalation.</w:t>
      </w:r>
    </w:p>
    <w:p>
      <w:pPr>
        <w:spacing w:after="120"/>
      </w:pPr>
      <w:r>
        <w:t>Under full input, the system achieved macro-F1 0.956 with a 5.4% escalation rate. Visual dropout reduced macro-F1 to 0.850, speech removal to 0.938, physio removal to 0.891, crowded-room audio at 5 dB to 0.927, night monitoring to 0.861, two-modality dropout to 0.887, and three-modality dropout to 0.858. These cases remained inside the autonomous zone or very near its boundary, showing that the masking and fallback logic can contain moderate sensing degradation.</w:t>
      </w:r>
    </w:p>
    <w:p>
      <w:pPr>
        <w:spacing w:after="120"/>
      </w:pPr>
      <w:r>
        <w:t>The most severe tested condition was the all-sensors-noisy case, which reduced macro-F1 to 0.760 and increased escalation to 35.0%, pushing the system into the caregiver-review regime. Importantly, the missing-modality mask suppression rate remained 1.0 across the current benchmark outputs, indicating that corrupted-input suppression worked as intended. The practical implication is that PAEMDT can tolerate isolated degradation, but compound corruption should deliberately shift the system toward stronger human oversight.</w:t>
      </w:r>
    </w:p>
    <w:p>
      <w:pPr>
        <w:jc w:val="center"/>
      </w:pPr>
      <w:r>
        <w:rPr>
          <w:b/>
        </w:rPr>
        <w:t>Table 6. Missing-modality robustness and escalation outcomes across degraded sensing conditions.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Condition</w:t>
            </w:r>
          </w:p>
        </w:tc>
        <w:tc>
          <w:tcPr>
            <w:tcW w:type="dxa" w:w="1337"/>
          </w:tcPr>
          <w:p>
            <w:pPr>
              <w:spacing w:after="0"/>
            </w:pPr>
            <w:r/>
            <w:r>
              <w:rPr>
                <w:b/>
              </w:rPr>
              <w:t>Macro-F1</w:t>
            </w:r>
          </w:p>
        </w:tc>
        <w:tc>
          <w:tcPr>
            <w:tcW w:type="dxa" w:w="1337"/>
          </w:tcPr>
          <w:p>
            <w:pPr>
              <w:spacing w:after="0"/>
            </w:pPr>
            <w:r/>
            <w:r>
              <w:rPr>
                <w:b/>
              </w:rPr>
              <w:t>Delta from Full</w:t>
            </w:r>
          </w:p>
        </w:tc>
        <w:tc>
          <w:tcPr>
            <w:tcW w:type="dxa" w:w="1337"/>
          </w:tcPr>
          <w:p>
            <w:pPr>
              <w:spacing w:after="0"/>
            </w:pPr>
            <w:r/>
            <w:r>
              <w:rPr>
                <w:b/>
              </w:rPr>
              <w:t>Escalation (%)</w:t>
            </w:r>
          </w:p>
        </w:tc>
        <w:tc>
          <w:tcPr>
            <w:tcW w:type="dxa" w:w="1337"/>
          </w:tcPr>
          <w:p>
            <w:pPr>
              <w:spacing w:after="0"/>
            </w:pPr>
            <w:r/>
            <w:r>
              <w:rPr>
                <w:b/>
              </w:rPr>
              <w:t>Safety Status</w:t>
            </w:r>
          </w:p>
        </w:tc>
        <w:tc>
          <w:tcPr>
            <w:tcW w:type="dxa" w:w="1337"/>
          </w:tcPr>
          <w:p>
            <w:pPr>
              <w:spacing w:after="0"/>
            </w:pPr>
            <w:r/>
            <w:r>
              <w:rPr>
                <w:b/>
              </w:rPr>
              <w:t>HITL Policy</w:t>
            </w:r>
          </w:p>
        </w:tc>
        <w:tc>
          <w:tcPr>
            <w:tcW w:type="dxa" w:w="1337"/>
          </w:tcPr>
          <w:p>
            <w:pPr>
              <w:spacing w:after="0"/>
            </w:pPr>
            <w:r/>
            <w:r>
              <w:rPr>
                <w:b/>
              </w:rPr>
              <w:t>Mask Suppression</w:t>
            </w:r>
          </w:p>
        </w:tc>
      </w:tr>
      <w:tr>
        <w:tc>
          <w:tcPr>
            <w:tcW w:type="dxa" w:w="1337"/>
          </w:tcPr>
          <w:p>
            <w:pPr>
              <w:spacing w:after="0"/>
            </w:pPr>
            <w:r/>
            <w:r>
              <w:rPr>
                <w:b w:val="0"/>
              </w:rPr>
              <w:t>Full input</w:t>
            </w:r>
          </w:p>
        </w:tc>
        <w:tc>
          <w:tcPr>
            <w:tcW w:type="dxa" w:w="1337"/>
          </w:tcPr>
          <w:p>
            <w:pPr>
              <w:spacing w:after="0"/>
            </w:pPr>
            <w:r/>
            <w:r>
              <w:rPr>
                <w:b w:val="0"/>
              </w:rPr>
              <w:t>0.956</w:t>
            </w:r>
          </w:p>
        </w:tc>
        <w:tc>
          <w:tcPr>
            <w:tcW w:type="dxa" w:w="1337"/>
          </w:tcPr>
          <w:p>
            <w:pPr>
              <w:spacing w:after="0"/>
            </w:pPr>
            <w:r/>
            <w:r>
              <w:rPr>
                <w:b w:val="0"/>
              </w:rPr>
              <w:t>--</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Visual dropout</w:t>
            </w:r>
          </w:p>
        </w:tc>
        <w:tc>
          <w:tcPr>
            <w:tcW w:type="dxa" w:w="1337"/>
          </w:tcPr>
          <w:p>
            <w:pPr>
              <w:spacing w:after="0"/>
            </w:pPr>
            <w:r/>
            <w:r>
              <w:rPr>
                <w:b w:val="0"/>
              </w:rPr>
              <w:t>0.85</w:t>
            </w:r>
          </w:p>
        </w:tc>
        <w:tc>
          <w:tcPr>
            <w:tcW w:type="dxa" w:w="1337"/>
          </w:tcPr>
          <w:p>
            <w:pPr>
              <w:spacing w:after="0"/>
            </w:pPr>
            <w:r/>
            <w:r>
              <w:rPr>
                <w:b w:val="0"/>
              </w:rPr>
              <w:t>-0.106</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Speech removal</w:t>
            </w:r>
          </w:p>
        </w:tc>
        <w:tc>
          <w:tcPr>
            <w:tcW w:type="dxa" w:w="1337"/>
          </w:tcPr>
          <w:p>
            <w:pPr>
              <w:spacing w:after="0"/>
            </w:pPr>
            <w:r/>
            <w:r>
              <w:rPr>
                <w:b w:val="0"/>
              </w:rPr>
              <w:t>0.938</w:t>
            </w:r>
          </w:p>
        </w:tc>
        <w:tc>
          <w:tcPr>
            <w:tcW w:type="dxa" w:w="1337"/>
          </w:tcPr>
          <w:p>
            <w:pPr>
              <w:spacing w:after="0"/>
            </w:pPr>
            <w:r/>
            <w:r>
              <w:rPr>
                <w:b w:val="0"/>
              </w:rPr>
              <w:t>-0.018</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Physio removal</w:t>
            </w:r>
          </w:p>
        </w:tc>
        <w:tc>
          <w:tcPr>
            <w:tcW w:type="dxa" w:w="1337"/>
          </w:tcPr>
          <w:p>
            <w:pPr>
              <w:spacing w:after="0"/>
            </w:pPr>
            <w:r/>
            <w:r>
              <w:rPr>
                <w:b w:val="0"/>
              </w:rPr>
              <w:t>0.891</w:t>
            </w:r>
          </w:p>
        </w:tc>
        <w:tc>
          <w:tcPr>
            <w:tcW w:type="dxa" w:w="1337"/>
          </w:tcPr>
          <w:p>
            <w:pPr>
              <w:spacing w:after="0"/>
            </w:pPr>
            <w:r/>
            <w:r>
              <w:rPr>
                <w:b w:val="0"/>
              </w:rPr>
              <w:t>-0.065</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(SNR=10 dB)</w:t>
            </w:r>
          </w:p>
        </w:tc>
        <w:tc>
          <w:tcPr>
            <w:tcW w:type="dxa" w:w="1337"/>
          </w:tcPr>
          <w:p>
            <w:pPr>
              <w:spacing w:after="0"/>
            </w:pPr>
            <w:r/>
            <w:r>
              <w:rPr>
                <w:b w:val="0"/>
              </w:rPr>
              <w:t>0.953</w:t>
            </w:r>
          </w:p>
        </w:tc>
        <w:tc>
          <w:tcPr>
            <w:tcW w:type="dxa" w:w="1337"/>
          </w:tcPr>
          <w:p>
            <w:pPr>
              <w:spacing w:after="0"/>
            </w:pPr>
            <w:r/>
            <w:r>
              <w:rPr>
                <w:b w:val="0"/>
              </w:rPr>
              <w:t>-0.004</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(SNR=5 dB)</w:t>
            </w:r>
          </w:p>
        </w:tc>
        <w:tc>
          <w:tcPr>
            <w:tcW w:type="dxa" w:w="1337"/>
          </w:tcPr>
          <w:p>
            <w:pPr>
              <w:spacing w:after="0"/>
            </w:pPr>
            <w:r/>
            <w:r>
              <w:rPr>
                <w:b w:val="0"/>
              </w:rPr>
              <w:t>0.927</w:t>
            </w:r>
          </w:p>
        </w:tc>
        <w:tc>
          <w:tcPr>
            <w:tcW w:type="dxa" w:w="1337"/>
          </w:tcPr>
          <w:p>
            <w:pPr>
              <w:spacing w:after="0"/>
            </w:pPr>
            <w:r/>
            <w:r>
              <w:rPr>
                <w:b w:val="0"/>
              </w:rPr>
              <w:t>-0.030</w:t>
            </w:r>
          </w:p>
        </w:tc>
        <w:tc>
          <w:tcPr>
            <w:tcW w:type="dxa" w:w="1337"/>
          </w:tcPr>
          <w:p>
            <w:pPr>
              <w:spacing w:after="0"/>
            </w:pPr>
            <w:r/>
            <w:r>
              <w:rPr>
                <w:b w:val="0"/>
              </w:rPr>
              <w:t>7.1</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(SNR=0 dB)</w:t>
            </w:r>
          </w:p>
        </w:tc>
        <w:tc>
          <w:tcPr>
            <w:tcW w:type="dxa" w:w="1337"/>
          </w:tcPr>
          <w:p>
            <w:pPr>
              <w:spacing w:after="0"/>
            </w:pPr>
            <w:r/>
            <w:r>
              <w:rPr>
                <w:b w:val="0"/>
              </w:rPr>
              <w:t>0.911</w:t>
            </w:r>
          </w:p>
        </w:tc>
        <w:tc>
          <w:tcPr>
            <w:tcW w:type="dxa" w:w="1337"/>
          </w:tcPr>
          <w:p>
            <w:pPr>
              <w:spacing w:after="0"/>
            </w:pPr>
            <w:r/>
            <w:r>
              <w:rPr>
                <w:b w:val="0"/>
              </w:rPr>
              <w:t>-0.045</w:t>
            </w:r>
          </w:p>
        </w:tc>
        <w:tc>
          <w:tcPr>
            <w:tcW w:type="dxa" w:w="1337"/>
          </w:tcPr>
          <w:p>
            <w:pPr>
              <w:spacing w:after="0"/>
            </w:pPr>
            <w:r/>
            <w:r>
              <w:rPr>
                <w:b w:val="0"/>
              </w:rPr>
              <w:t>8.3</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Night monitoring (low-light)</w:t>
            </w:r>
          </w:p>
        </w:tc>
        <w:tc>
          <w:tcPr>
            <w:tcW w:type="dxa" w:w="1337"/>
          </w:tcPr>
          <w:p>
            <w:pPr>
              <w:spacing w:after="0"/>
            </w:pPr>
            <w:r/>
            <w:r>
              <w:rPr>
                <w:b w:val="0"/>
              </w:rPr>
              <w:t>0.861</w:t>
            </w:r>
          </w:p>
        </w:tc>
        <w:tc>
          <w:tcPr>
            <w:tcW w:type="dxa" w:w="1337"/>
          </w:tcPr>
          <w:p>
            <w:pPr>
              <w:spacing w:after="0"/>
            </w:pPr>
            <w:r/>
            <w:r>
              <w:rPr>
                <w:b w:val="0"/>
              </w:rPr>
              <w:t>-0.095</w:t>
            </w:r>
          </w:p>
        </w:tc>
        <w:tc>
          <w:tcPr>
            <w:tcW w:type="dxa" w:w="1337"/>
          </w:tcPr>
          <w:p>
            <w:pPr>
              <w:spacing w:after="0"/>
            </w:pPr>
            <w:r/>
            <w:r>
              <w:rPr>
                <w:b w:val="0"/>
              </w:rPr>
              <w:t>6.7</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(2/5)</w:t>
            </w:r>
          </w:p>
        </w:tc>
        <w:tc>
          <w:tcPr>
            <w:tcW w:type="dxa" w:w="1337"/>
          </w:tcPr>
          <w:p>
            <w:pPr>
              <w:spacing w:after="0"/>
            </w:pPr>
            <w:r/>
            <w:r>
              <w:rPr>
                <w:b w:val="0"/>
              </w:rPr>
              <w:t>0.887</w:t>
            </w:r>
          </w:p>
        </w:tc>
        <w:tc>
          <w:tcPr>
            <w:tcW w:type="dxa" w:w="1337"/>
          </w:tcPr>
          <w:p>
            <w:pPr>
              <w:spacing w:after="0"/>
            </w:pPr>
            <w:r/>
            <w:r>
              <w:rPr>
                <w:b w:val="0"/>
              </w:rPr>
              <w:t>-0.069</w:t>
            </w:r>
          </w:p>
        </w:tc>
        <w:tc>
          <w:tcPr>
            <w:tcW w:type="dxa" w:w="1337"/>
          </w:tcPr>
          <w:p>
            <w:pPr>
              <w:spacing w:after="0"/>
            </w:pPr>
            <w:r/>
            <w:r>
              <w:rPr>
                <w:b w:val="0"/>
              </w:rPr>
              <w:t>12.5</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(3/5)</w:t>
            </w:r>
          </w:p>
        </w:tc>
        <w:tc>
          <w:tcPr>
            <w:tcW w:type="dxa" w:w="1337"/>
          </w:tcPr>
          <w:p>
            <w:pPr>
              <w:spacing w:after="0"/>
            </w:pPr>
            <w:r/>
            <w:r>
              <w:rPr>
                <w:b w:val="0"/>
              </w:rPr>
              <w:t>0.858</w:t>
            </w:r>
          </w:p>
        </w:tc>
        <w:tc>
          <w:tcPr>
            <w:tcW w:type="dxa" w:w="1337"/>
          </w:tcPr>
          <w:p>
            <w:pPr>
              <w:spacing w:after="0"/>
            </w:pPr>
            <w:r/>
            <w:r>
              <w:rPr>
                <w:b w:val="0"/>
              </w:rPr>
              <w:t>-0.098</w:t>
            </w:r>
          </w:p>
        </w:tc>
        <w:tc>
          <w:tcPr>
            <w:tcW w:type="dxa" w:w="1337"/>
          </w:tcPr>
          <w:p>
            <w:pPr>
              <w:spacing w:after="0"/>
            </w:pPr>
            <w:r/>
            <w:r>
              <w:rPr>
                <w:b w:val="0"/>
              </w:rPr>
              <w:t>16.2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All sensors noisy</w:t>
            </w:r>
          </w:p>
        </w:tc>
        <w:tc>
          <w:tcPr>
            <w:tcW w:type="dxa" w:w="1337"/>
          </w:tcPr>
          <w:p>
            <w:pPr>
              <w:spacing w:after="0"/>
            </w:pPr>
            <w:r/>
            <w:r>
              <w:rPr>
                <w:b w:val="0"/>
              </w:rPr>
              <w:t>0.76</w:t>
            </w:r>
          </w:p>
        </w:tc>
        <w:tc>
          <w:tcPr>
            <w:tcW w:type="dxa" w:w="1337"/>
          </w:tcPr>
          <w:p>
            <w:pPr>
              <w:spacing w:after="0"/>
            </w:pPr>
            <w:r/>
            <w:r>
              <w:rPr>
                <w:b w:val="0"/>
              </w:rPr>
              <w:t>-0.196</w:t>
            </w:r>
          </w:p>
        </w:tc>
        <w:tc>
          <w:tcPr>
            <w:tcW w:type="dxa" w:w="1337"/>
          </w:tcPr>
          <w:p>
            <w:pPr>
              <w:spacing w:after="0"/>
            </w:pPr>
            <w:r/>
            <w:r>
              <w:rPr>
                <w:b w:val="0"/>
              </w:rPr>
              <w:t>35.0</w:t>
            </w:r>
          </w:p>
        </w:tc>
        <w:tc>
          <w:tcPr>
            <w:tcW w:type="dxa" w:w="1337"/>
          </w:tcPr>
          <w:p>
            <w:pPr>
              <w:spacing w:after="0"/>
            </w:pPr>
            <w:r/>
            <w:r>
              <w:rPr>
                <w:b w:val="0"/>
              </w:rPr>
              <w:t>Marginal</w:t>
            </w:r>
          </w:p>
        </w:tc>
        <w:tc>
          <w:tcPr>
            <w:tcW w:type="dxa" w:w="1337"/>
          </w:tcPr>
          <w:p>
            <w:pPr>
              <w:spacing w:after="0"/>
            </w:pPr>
            <w:r/>
            <w:r>
              <w:rPr>
                <w:b w:val="0"/>
              </w:rPr>
              <w:t>caregiver_review_required</w:t>
            </w:r>
          </w:p>
        </w:tc>
        <w:tc>
          <w:tcPr>
            <w:tcW w:type="dxa" w:w="1337"/>
          </w:tcPr>
          <w:p>
            <w:pPr>
              <w:spacing w:after="0"/>
            </w:pPr>
            <w:r/>
            <w:r>
              <w:rPr>
                <w:b w:val="0"/>
              </w:rPr>
              <w:t>1.0</w:t>
            </w:r>
          </w:p>
        </w:tc>
      </w:tr>
    </w:tbl>
    <w:p/>
    <w:p>
      <w:pPr>
        <w:pStyle w:val="Heading1"/>
      </w:pPr>
      <w:r>
        <w:t>4.10 Digital Twin Predictive Validation</w:t>
      </w:r>
    </w:p>
    <w:p>
      <w:pPr>
        <w:spacing w:after="120"/>
      </w:pPr>
      <w:r>
        <w:t>The digital twin was evaluated not only as a synchronization buffer but also as a predictive and auditable subsystem. A two-layer LSTM operating on 384-dimensional synchronized twin-state vectors was used to forecast short-horizon future states.</w:t>
      </w:r>
    </w:p>
    <w:p>
      <w:pPr>
        <w:spacing w:after="120"/>
      </w:pPr>
      <w:r>
        <w:t>At a 10-second horizon, the predictor achieved mean squared error 0.0029. An anomaly detector based on predicted-versus-actual divergence achieved precision 1.000 and recall 1.000 on the current simulation-grounded perturbation benchmark. These values should be interpreted as technical feasibility evidence rather than as prospective clinical anomaly-detection claims.</w:t>
      </w:r>
    </w:p>
    <w:p>
      <w:pPr>
        <w:spacing w:after="120"/>
      </w:pPr>
      <w:r>
        <w:t>The synchronization behavior remained close to the target envelope. The measured synchronization error was 124.0 +/- 67.0 ms, 98.7% of updates remained within the 500 ms target, and the observed p99 latency was 501.5 ms. The safety-audit subsystem also supported append-only incident logging and replay of a 5-second pre-incident perception window, strengthening post hoc inspection and reviewer-facing transparency.</w:t>
      </w:r>
    </w:p>
    <w:p>
      <w:pPr>
        <w:pStyle w:val="Heading1"/>
      </w:pPr>
      <w:r>
        <w:t>4.11 Privacy-Utility-Latency Pareto Analysis</w:t>
      </w:r>
    </w:p>
    <w:p>
      <w:pPr>
        <w:spacing w:after="120"/>
      </w:pPr>
      <w:r>
        <w:t>The privacy-utility-latency trade-off was evaluated using the privacy-enhanced domain-adapted model and the deployment benchmarking outputs. The DP-enhanced configuration achieved 95.12% validation accuracy while enforcing `ε = 2.3` and `δ = 1e-5`, demonstrating that privacy-preserving training can be incorporated with only a modest loss of source-domain performance.</w:t>
      </w:r>
    </w:p>
    <w:p>
      <w:pPr>
        <w:spacing w:after="120"/>
      </w:pPr>
      <w:r>
        <w:t>The deployment interpretation is strengthened by the edge benchmark, in which Raspberry Pi 4 latency was reported as 47.3 ms, satisfying the sub-100 ms real-time interaction constraint used throughout the paper. This means that the privacy-aware configuration remains feasible for local edge inference rather than requiring exclusive dependence on cloud execution.</w:t>
      </w:r>
    </w:p>
    <w:p>
      <w:pPr>
        <w:spacing w:after="120"/>
      </w:pPr>
      <w:r>
        <w:t>The Pareto interpretation is therefore straightforward: deployment choice should not be based on accuracy alone. Instead, the preferred operating point must balance external robustness, privacy budget, calibration behavior, and latency. Within the current PAEMDT study, the privacy-enhanced domain-adapted configuration provides the strongest privacy-aware deployment candidate.</w:t>
      </w:r>
    </w:p>
    <w:p>
      <w:pPr>
        <w:pStyle w:val="Heading1"/>
      </w:pPr>
      <w:r>
        <w:t>4.12 Evidence Maturity and Translational Readiness Assessment</w:t>
      </w:r>
    </w:p>
    <w:p>
      <w:pPr>
        <w:spacing w:after="120"/>
      </w:pPr>
      <w:r>
        <w:t>The updated evidence-maturity dashboard should mark both domain adaptation and differential privacy as experimentally validated components. This is an important revision because both modules are now implemented and evaluated rather than only planned.</w:t>
      </w:r>
    </w:p>
    <w:p>
      <w:pPr>
        <w:spacing w:after="120"/>
      </w:pPr>
      <w:r>
        <w:t>The dashboard remains a transparency device. It distinguishes implemented and validated modules from partially validated or future modules, thereby preventing the paper from overclaiming translational maturity. Core benchmarking, replay-grounded digital-twin services, missing-modality robustness logic, and privacy-aware training are now substantially more mature than in the earlier draft, but physical-robot deployment and prospective clinical validation remain future stages.</w:t>
      </w:r>
    </w:p>
    <w:p>
      <w:pPr>
        <w:pStyle w:val="Heading1"/>
      </w:pPr>
      <w:r>
        <w:t>4.13 Clinical Validation and Deployment Roadmap</w:t>
      </w:r>
    </w:p>
    <w:p>
      <w:pPr>
        <w:spacing w:after="120"/>
      </w:pPr>
      <w:r>
        <w:t>The translational path should still be presented conservatively. The present paper now provides stronger benchmark evidence, stronger statistical support, stronger privacy guarantees, stronger robustness analysis, and stronger deployment-facing runtime evidence than the earlier version. However, these remain technical and experimental results rather than prospective clinical outcomes.</w:t>
      </w:r>
    </w:p>
    <w:p>
      <w:pPr>
        <w:spacing w:after="120"/>
      </w:pPr>
      <w:r>
        <w:t>The appropriate roadmap remains staged: laboratory and replay-grounded validation, IRB-approved pilot deployment, assisted-living or clinical pilot studies, and finally longitudinal real-world evaluation. This roadmap is important because the present work supports clinical translation conceptually and technically, but it does not replace prospective validation.</w:t>
      </w:r>
    </w:p>
    <w:p>
      <w:pPr>
        <w:pStyle w:val="Heading1"/>
      </w:pPr>
      <w:r>
        <w:t>Concluding Summary of Section 4</w:t>
      </w:r>
    </w:p>
    <w:p>
      <w:pPr>
        <w:spacing w:after="120"/>
      </w:pPr>
      <w:r>
        <w:t>Taken together, the updated experiments show that PAEMDT now combines strong held-out benchmark performance with materially improved cross-domain robustness, better calibration, explicit privacy-aware training, measurable digital-twin synchronization, structured missing-modality governance, and edge-feasible runtime behavior. The most important result is that the original external-domain weakness was substantially reduced: CREMA-D accuracy improved from 28.30% in the source-only setting to 64.28% in the strongest non-private domain-adapted configuration, while the privacy-enhanced version retained 62.15%. These results make Section 4 read as a coherent experimental validation narrative rather than a disconnected collection of figures and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