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ptos Display" w:hAnsi="Aptos Display"/>
          <w:b/>
          <w:sz w:val="48"/>
        </w:rPr>
        <w:t>ENDPOINT SECURITY BASELINE GUIDE</w:t>
      </w:r>
    </w:p>
    <w:p>
      <w:pPr>
        <w:jc w:val="center"/>
      </w:pPr>
      <w:r>
        <w:rPr>
          <w:b/>
          <w:sz w:val="36"/>
        </w:rPr>
        <w:t>For a Real Estate Agency</w:t>
      </w:r>
    </w:p>
    <w:p>
      <w:pPr>
        <w:jc w:val="center"/>
      </w:pPr>
      <w:r>
        <w:rPr>
          <w:sz w:val="26"/>
        </w:rPr>
        <w:t>Windows Event Viewer – Practical Monitoring Prototype</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rFonts w:ascii="Aptos" w:hAnsi="Aptos"/>
                <w:b/>
                <w:sz w:val="20"/>
              </w:rPr>
              <w:t>Assigned Role</w:t>
            </w:r>
          </w:p>
        </w:tc>
        <w:tc>
          <w:tcPr>
            <w:tcW w:type="dxa" w:w="5112"/>
            <w:vAlign w:val="center"/>
          </w:tcPr>
          <w:p>
            <w:r/>
            <w:r>
              <w:rPr>
                <w:rFonts w:ascii="Aptos" w:hAnsi="Aptos"/>
                <w:b w:val="0"/>
                <w:sz w:val="20"/>
              </w:rPr>
              <w:t>Member 3 – Individual Contributor</w:t>
            </w:r>
          </w:p>
        </w:tc>
      </w:tr>
      <w:tr>
        <w:tc>
          <w:tcPr>
            <w:tcW w:type="dxa" w:w="5112"/>
            <w:vAlign w:val="center"/>
            <w:shd w:fill="EAF2F8"/>
          </w:tcPr>
          <w:p>
            <w:r/>
            <w:r>
              <w:rPr>
                <w:rFonts w:ascii="Aptos" w:hAnsi="Aptos"/>
                <w:b/>
                <w:sz w:val="20"/>
              </w:rPr>
              <w:t>Primary Tool</w:t>
            </w:r>
          </w:p>
        </w:tc>
        <w:tc>
          <w:tcPr>
            <w:tcW w:type="dxa" w:w="5112"/>
            <w:vAlign w:val="center"/>
          </w:tcPr>
          <w:p>
            <w:r/>
            <w:r>
              <w:rPr>
                <w:rFonts w:ascii="Aptos" w:hAnsi="Aptos"/>
                <w:b w:val="0"/>
                <w:sz w:val="20"/>
              </w:rPr>
              <w:t>Windows Event Viewer</w:t>
            </w:r>
          </w:p>
        </w:tc>
      </w:tr>
      <w:tr>
        <w:tc>
          <w:tcPr>
            <w:tcW w:type="dxa" w:w="5112"/>
            <w:vAlign w:val="center"/>
            <w:shd w:fill="EAF2F8"/>
          </w:tcPr>
          <w:p>
            <w:r/>
            <w:r>
              <w:rPr>
                <w:rFonts w:ascii="Aptos" w:hAnsi="Aptos"/>
                <w:b/>
                <w:sz w:val="20"/>
              </w:rPr>
              <w:t>Project Type</w:t>
            </w:r>
          </w:p>
        </w:tc>
        <w:tc>
          <w:tcPr>
            <w:tcW w:type="dxa" w:w="5112"/>
            <w:vAlign w:val="center"/>
          </w:tcPr>
          <w:p>
            <w:r/>
            <w:r>
              <w:rPr>
                <w:rFonts w:ascii="Aptos" w:hAnsi="Aptos"/>
                <w:b w:val="0"/>
                <w:sz w:val="20"/>
              </w:rPr>
              <w:t>Endpoint Security Monitoring Baseline</w:t>
            </w:r>
          </w:p>
        </w:tc>
      </w:tr>
      <w:tr>
        <w:tc>
          <w:tcPr>
            <w:tcW w:type="dxa" w:w="5112"/>
            <w:vAlign w:val="center"/>
            <w:shd w:fill="EAF2F8"/>
          </w:tcPr>
          <w:p>
            <w:r/>
            <w:r>
              <w:rPr>
                <w:rFonts w:ascii="Aptos" w:hAnsi="Aptos"/>
                <w:b/>
                <w:sz w:val="20"/>
              </w:rPr>
              <w:t>Environment</w:t>
            </w:r>
          </w:p>
        </w:tc>
        <w:tc>
          <w:tcPr>
            <w:tcW w:type="dxa" w:w="5112"/>
            <w:vAlign w:val="center"/>
          </w:tcPr>
          <w:p>
            <w:r/>
            <w:r>
              <w:rPr>
                <w:rFonts w:ascii="Aptos" w:hAnsi="Aptos"/>
                <w:b w:val="0"/>
                <w:sz w:val="20"/>
              </w:rPr>
              <w:t>Windows endpoint / safe lab environment</w:t>
            </w:r>
          </w:p>
        </w:tc>
      </w:tr>
      <w:tr>
        <w:tc>
          <w:tcPr>
            <w:tcW w:type="dxa" w:w="5112"/>
            <w:vAlign w:val="center"/>
            <w:shd w:fill="EAF2F8"/>
          </w:tcPr>
          <w:p>
            <w:r/>
            <w:r>
              <w:rPr>
                <w:rFonts w:ascii="Aptos" w:hAnsi="Aptos"/>
                <w:b/>
                <w:sz w:val="20"/>
              </w:rPr>
              <w:t>Evidence Provided</w:t>
            </w:r>
          </w:p>
        </w:tc>
        <w:tc>
          <w:tcPr>
            <w:tcW w:type="dxa" w:w="5112"/>
            <w:vAlign w:val="center"/>
          </w:tcPr>
          <w:p>
            <w:r/>
            <w:r>
              <w:rPr>
                <w:rFonts w:ascii="Aptos" w:hAnsi="Aptos"/>
                <w:b w:val="0"/>
                <w:sz w:val="20"/>
              </w:rPr>
              <w:t>Event Viewer screenshots for Event IDs 4625, 4624, 4648, 4672 and 1102</w:t>
            </w:r>
          </w:p>
        </w:tc>
      </w:tr>
    </w:tbl>
    <w:p>
      <w:pPr>
        <w:spacing w:before="900"/>
        <w:jc w:val="center"/>
      </w:pPr>
      <w:r>
        <w:rPr>
          <w:i/>
          <w:sz w:val="20"/>
        </w:rPr>
        <w:t>Prepared as an internship project deliverable</w:t>
      </w:r>
    </w:p>
    <w:p>
      <w:r>
        <w:br w:type="page"/>
      </w:r>
    </w:p>
    <w:p>
      <w:pPr>
        <w:pStyle w:val="Heading1"/>
      </w:pPr>
      <w:r>
        <w:t>1. Executive Summary</w:t>
      </w:r>
    </w:p>
    <w:p>
      <w:r>
        <w:t>This contribution demonstrates a practical endpoint-security monitoring baseline using Windows Event Viewer. The purpose is to identify security-relevant Windows events, define detection criteria, and document an appropriate initial response for a real estate agency environment. The supplied evidence contains filtered Security log views for Event IDs 4625, 4624, 4648 and 4672.</w:t>
      </w:r>
    </w:p>
    <w:p>
      <w:r>
        <w:t>The screenshots show that the test endpoint is generating these event types. The presence of an event is not, by itself, proof of compromise; the events should be correlated with the user, time, source, process and business context before an incident is declared.</w:t>
      </w:r>
    </w:p>
    <w:p>
      <w:pPr>
        <w:pStyle w:val="Heading1"/>
      </w:pPr>
      <w:r>
        <w:t>2. Objective</w:t>
      </w:r>
    </w:p>
    <w:p>
      <w:pPr>
        <w:pStyle w:val="ListBullet"/>
        <w:spacing w:after="40"/>
      </w:pPr>
      <w:r>
        <w:t>Use Windows Event Viewer to review endpoint security logs.</w:t>
      </w:r>
    </w:p>
    <w:p>
      <w:pPr>
        <w:pStyle w:val="ListBullet"/>
        <w:spacing w:after="40"/>
      </w:pPr>
      <w:r>
        <w:t>Define at least five practical detection/alert rules.</w:t>
      </w:r>
    </w:p>
    <w:p>
      <w:pPr>
        <w:pStyle w:val="ListBullet"/>
        <w:spacing w:after="40"/>
      </w:pPr>
      <w:r>
        <w:t>Create a sample log-review report that a security team could use as a baseline.</w:t>
      </w:r>
    </w:p>
    <w:p>
      <w:pPr>
        <w:pStyle w:val="ListBullet"/>
        <w:spacing w:after="40"/>
      </w:pPr>
      <w:r>
        <w:t>Document response steps for each alert type.</w:t>
      </w:r>
    </w:p>
    <w:p>
      <w:pPr>
        <w:pStyle w:val="ListBullet"/>
        <w:spacing w:after="40"/>
      </w:pPr>
      <w:r>
        <w:t>Provide screenshots as evidence of the monitoring work.</w:t>
      </w:r>
    </w:p>
    <w:p>
      <w:pPr>
        <w:pStyle w:val="Heading1"/>
      </w:pPr>
      <w:r>
        <w:t>3. Scope</w:t>
      </w:r>
    </w:p>
    <w:p>
      <w:pPr>
        <w:pStyle w:val="ListBullet"/>
        <w:spacing w:after="40"/>
      </w:pPr>
      <w:r>
        <w:t>Primary log sources: Windows Security and System logs.</w:t>
      </w:r>
    </w:p>
    <w:p>
      <w:pPr>
        <w:pStyle w:val="ListBullet"/>
        <w:spacing w:after="40"/>
      </w:pPr>
      <w:r>
        <w:t>Focus: authentication activity, credential use, privileged logons and log tampering.</w:t>
      </w:r>
    </w:p>
    <w:p>
      <w:pPr>
        <w:pStyle w:val="ListBullet"/>
        <w:spacing w:after="40"/>
      </w:pPr>
      <w:r>
        <w:t>This is a prototype/baseline and is not intended to replace a SIEM or production incident-response platform.</w:t>
      </w:r>
    </w:p>
    <w:p>
      <w:pPr>
        <w:pStyle w:val="ListBullet"/>
        <w:spacing w:after="40"/>
      </w:pPr>
      <w:r>
        <w:t>Testing should be performed only on an authorized lab or company-owned endpoint.</w:t>
      </w:r>
    </w:p>
    <w:p>
      <w:r>
        <w:br w:type="page"/>
      </w:r>
    </w:p>
    <w:p>
      <w:pPr>
        <w:pStyle w:val="Heading1"/>
      </w:pPr>
      <w:r>
        <w:t>4. Detection and Alert Rules</w:t>
      </w:r>
    </w:p>
    <w:p>
      <w:r>
        <w:t>The following rules are designed as baseline monitoring logic. Event IDs are used as filters in Event Viewer. For a production deployment, thresholds, allow-lists and correlation logic should be added.</w:t>
      </w:r>
    </w:p>
    <w:p>
      <w:pPr>
        <w:pStyle w:val="Heading2"/>
      </w:pPr>
      <w:r>
        <w:t>Detection Rule 1: Failed Login Attempts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rFonts w:ascii="Aptos" w:hAnsi="Aptos"/>
                <w:b/>
                <w:sz w:val="18"/>
              </w:rPr>
              <w:t>Event ID</w:t>
            </w:r>
          </w:p>
        </w:tc>
        <w:tc>
          <w:tcPr>
            <w:tcW w:type="dxa" w:w="5112"/>
            <w:vAlign w:val="center"/>
          </w:tcPr>
          <w:p>
            <w:r/>
            <w:r>
              <w:rPr>
                <w:rFonts w:ascii="Aptos" w:hAnsi="Aptos"/>
                <w:b w:val="0"/>
                <w:sz w:val="18"/>
              </w:rPr>
              <w:t>4625</w:t>
            </w:r>
          </w:p>
        </w:tc>
      </w:tr>
      <w:tr>
        <w:tc>
          <w:tcPr>
            <w:tcW w:type="dxa" w:w="5112"/>
            <w:vAlign w:val="center"/>
            <w:shd w:fill="EAF2F8"/>
          </w:tcPr>
          <w:p>
            <w:r/>
            <w:r>
              <w:rPr>
                <w:rFonts w:ascii="Aptos" w:hAnsi="Aptos"/>
                <w:b/>
                <w:sz w:val="18"/>
              </w:rPr>
              <w:t>Log</w:t>
            </w:r>
          </w:p>
        </w:tc>
        <w:tc>
          <w:tcPr>
            <w:tcW w:type="dxa" w:w="5112"/>
            <w:vAlign w:val="center"/>
          </w:tcPr>
          <w:p>
            <w:r/>
            <w:r>
              <w:rPr>
                <w:rFonts w:ascii="Aptos" w:hAnsi="Aptos"/>
                <w:b w:val="0"/>
                <w:sz w:val="18"/>
              </w:rPr>
              <w:t>Windows Logs → Security</w:t>
            </w:r>
          </w:p>
        </w:tc>
      </w:tr>
      <w:tr>
        <w:tc>
          <w:tcPr>
            <w:tcW w:type="dxa" w:w="5112"/>
            <w:vAlign w:val="center"/>
            <w:shd w:fill="EAF2F8"/>
          </w:tcPr>
          <w:p>
            <w:r/>
            <w:r>
              <w:rPr>
                <w:rFonts w:ascii="Aptos" w:hAnsi="Aptos"/>
                <w:b/>
                <w:sz w:val="18"/>
              </w:rPr>
              <w:t>Meaning</w:t>
            </w:r>
          </w:p>
        </w:tc>
        <w:tc>
          <w:tcPr>
            <w:tcW w:type="dxa" w:w="5112"/>
            <w:vAlign w:val="center"/>
          </w:tcPr>
          <w:p>
            <w:r/>
            <w:r>
              <w:rPr>
                <w:rFonts w:ascii="Aptos" w:hAnsi="Aptos"/>
                <w:b w:val="0"/>
                <w:sz w:val="18"/>
              </w:rPr>
              <w:t>An account failed to log on.</w:t>
            </w:r>
          </w:p>
        </w:tc>
      </w:tr>
      <w:tr>
        <w:tc>
          <w:tcPr>
            <w:tcW w:type="dxa" w:w="5112"/>
            <w:vAlign w:val="center"/>
            <w:shd w:fill="EAF2F8"/>
          </w:tcPr>
          <w:p>
            <w:r/>
            <w:r>
              <w:rPr>
                <w:rFonts w:ascii="Aptos" w:hAnsi="Aptos"/>
                <w:b/>
                <w:sz w:val="18"/>
              </w:rPr>
              <w:t>Risk</w:t>
            </w:r>
          </w:p>
        </w:tc>
        <w:tc>
          <w:tcPr>
            <w:tcW w:type="dxa" w:w="5112"/>
            <w:vAlign w:val="center"/>
          </w:tcPr>
          <w:p>
            <w:r/>
            <w:r>
              <w:rPr>
                <w:rFonts w:ascii="Aptos" w:hAnsi="Aptos"/>
                <w:b w:val="0"/>
                <w:sz w:val="18"/>
              </w:rPr>
              <w:t>Medium to High depending on frequency and context.</w:t>
            </w:r>
          </w:p>
        </w:tc>
      </w:tr>
      <w:tr>
        <w:tc>
          <w:tcPr>
            <w:tcW w:type="dxa" w:w="5112"/>
            <w:vAlign w:val="center"/>
            <w:shd w:fill="EAF2F8"/>
          </w:tcPr>
          <w:p>
            <w:r/>
            <w:r>
              <w:rPr>
                <w:rFonts w:ascii="Aptos" w:hAnsi="Aptos"/>
                <w:b/>
                <w:sz w:val="18"/>
              </w:rPr>
              <w:t>Detection / Monitoring Logic</w:t>
            </w:r>
          </w:p>
        </w:tc>
        <w:tc>
          <w:tcPr>
            <w:tcW w:type="dxa" w:w="5112"/>
            <w:vAlign w:val="center"/>
          </w:tcPr>
          <w:p>
            <w:r/>
            <w:r>
              <w:rPr>
                <w:rFonts w:ascii="Aptos" w:hAnsi="Aptos"/>
                <w:b w:val="0"/>
                <w:sz w:val="18"/>
              </w:rPr>
              <w:t>Monitor repeated 4625 events for the same account, source or endpoint within a short time window.</w:t>
            </w:r>
          </w:p>
        </w:tc>
      </w:tr>
      <w:tr>
        <w:tc>
          <w:tcPr>
            <w:tcW w:type="dxa" w:w="5112"/>
            <w:vAlign w:val="center"/>
            <w:shd w:fill="EAF2F8"/>
          </w:tcPr>
          <w:p>
            <w:r/>
            <w:r>
              <w:rPr>
                <w:rFonts w:ascii="Aptos" w:hAnsi="Aptos"/>
                <w:b/>
                <w:sz w:val="18"/>
              </w:rPr>
              <w:t>Response</w:t>
            </w:r>
          </w:p>
        </w:tc>
        <w:tc>
          <w:tcPr>
            <w:tcW w:type="dxa" w:w="5112"/>
            <w:vAlign w:val="center"/>
          </w:tcPr>
          <w:p>
            <w:r/>
            <w:r>
              <w:rPr>
                <w:rFonts w:ascii="Aptos" w:hAnsi="Aptos"/>
                <w:b w:val="0"/>
                <w:sz w:val="18"/>
              </w:rPr>
              <w:t>Verify the username and source information. Check whether the attempts are expected. Repeated or suspicious attempts should be investigated for password guessing or brute-force behavior.</w:t>
            </w:r>
          </w:p>
        </w:tc>
      </w:tr>
    </w:tbl>
    <w:p/>
    <w:p>
      <w:pPr>
        <w:jc w:val="center"/>
      </w:pPr>
      <w:r>
        <w:drawing>
          <wp:inline xmlns:a="http://schemas.openxmlformats.org/drawingml/2006/main" xmlns:pic="http://schemas.openxmlformats.org/drawingml/2006/picture">
            <wp:extent cx="5852160" cy="4408170"/>
            <wp:docPr id="1" name="Picture 1"/>
            <wp:cNvGraphicFramePr>
              <a:graphicFrameLocks noChangeAspect="1"/>
            </wp:cNvGraphicFramePr>
            <a:graphic>
              <a:graphicData uri="http://schemas.openxmlformats.org/drawingml/2006/picture">
                <pic:pic>
                  <pic:nvPicPr>
                    <pic:cNvPr id="0" name="153394.jpg"/>
                    <pic:cNvPicPr/>
                  </pic:nvPicPr>
                  <pic:blipFill>
                    <a:blip r:embed="rId9"/>
                    <a:stretch>
                      <a:fillRect/>
                    </a:stretch>
                  </pic:blipFill>
                  <pic:spPr>
                    <a:xfrm>
                      <a:off x="0" y="0"/>
                      <a:ext cx="5852160" cy="4408170"/>
                    </a:xfrm>
                    <a:prstGeom prst="rect"/>
                  </pic:spPr>
                </pic:pic>
              </a:graphicData>
            </a:graphic>
          </wp:inline>
        </w:drawing>
      </w:r>
    </w:p>
    <w:p>
      <w:pPr>
        <w:pStyle w:val="SmallNote"/>
        <w:jc w:val="center"/>
      </w:pPr>
      <w:r>
        <w:t>Figure 1. Supplied Event Viewer evidence filtered for Event ID 4625 (132 events shown in the filter).</w:t>
      </w:r>
    </w:p>
    <w:p/>
    <w:p>
      <w:pPr>
        <w:pStyle w:val="Heading2"/>
      </w:pPr>
      <w:r>
        <w:t>Detection Rule 2: Successful Logon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rFonts w:ascii="Aptos" w:hAnsi="Aptos"/>
                <w:b/>
                <w:sz w:val="18"/>
              </w:rPr>
              <w:t>Event ID</w:t>
            </w:r>
          </w:p>
        </w:tc>
        <w:tc>
          <w:tcPr>
            <w:tcW w:type="dxa" w:w="5112"/>
            <w:vAlign w:val="center"/>
          </w:tcPr>
          <w:p>
            <w:r/>
            <w:r>
              <w:rPr>
                <w:rFonts w:ascii="Aptos" w:hAnsi="Aptos"/>
                <w:b w:val="0"/>
                <w:sz w:val="18"/>
              </w:rPr>
              <w:t>4624</w:t>
            </w:r>
          </w:p>
        </w:tc>
      </w:tr>
      <w:tr>
        <w:tc>
          <w:tcPr>
            <w:tcW w:type="dxa" w:w="5112"/>
            <w:vAlign w:val="center"/>
            <w:shd w:fill="EAF2F8"/>
          </w:tcPr>
          <w:p>
            <w:r/>
            <w:r>
              <w:rPr>
                <w:rFonts w:ascii="Aptos" w:hAnsi="Aptos"/>
                <w:b/>
                <w:sz w:val="18"/>
              </w:rPr>
              <w:t>Log</w:t>
            </w:r>
          </w:p>
        </w:tc>
        <w:tc>
          <w:tcPr>
            <w:tcW w:type="dxa" w:w="5112"/>
            <w:vAlign w:val="center"/>
          </w:tcPr>
          <w:p>
            <w:r/>
            <w:r>
              <w:rPr>
                <w:rFonts w:ascii="Aptos" w:hAnsi="Aptos"/>
                <w:b w:val="0"/>
                <w:sz w:val="18"/>
              </w:rPr>
              <w:t>Windows Logs → Security</w:t>
            </w:r>
          </w:p>
        </w:tc>
      </w:tr>
      <w:tr>
        <w:tc>
          <w:tcPr>
            <w:tcW w:type="dxa" w:w="5112"/>
            <w:vAlign w:val="center"/>
            <w:shd w:fill="EAF2F8"/>
          </w:tcPr>
          <w:p>
            <w:r/>
            <w:r>
              <w:rPr>
                <w:rFonts w:ascii="Aptos" w:hAnsi="Aptos"/>
                <w:b/>
                <w:sz w:val="18"/>
              </w:rPr>
              <w:t>Meaning</w:t>
            </w:r>
          </w:p>
        </w:tc>
        <w:tc>
          <w:tcPr>
            <w:tcW w:type="dxa" w:w="5112"/>
            <w:vAlign w:val="center"/>
          </w:tcPr>
          <w:p>
            <w:r/>
            <w:r>
              <w:rPr>
                <w:rFonts w:ascii="Aptos" w:hAnsi="Aptos"/>
                <w:b w:val="0"/>
                <w:sz w:val="18"/>
              </w:rPr>
              <w:t>A successful account logon was recorded.</w:t>
            </w:r>
          </w:p>
        </w:tc>
      </w:tr>
      <w:tr>
        <w:tc>
          <w:tcPr>
            <w:tcW w:type="dxa" w:w="5112"/>
            <w:vAlign w:val="center"/>
            <w:shd w:fill="EAF2F8"/>
          </w:tcPr>
          <w:p>
            <w:r/>
            <w:r>
              <w:rPr>
                <w:rFonts w:ascii="Aptos" w:hAnsi="Aptos"/>
                <w:b/>
                <w:sz w:val="18"/>
              </w:rPr>
              <w:t>Risk</w:t>
            </w:r>
          </w:p>
        </w:tc>
        <w:tc>
          <w:tcPr>
            <w:tcW w:type="dxa" w:w="5112"/>
            <w:vAlign w:val="center"/>
          </w:tcPr>
          <w:p>
            <w:r/>
            <w:r>
              <w:rPr>
                <w:rFonts w:ascii="Aptos" w:hAnsi="Aptos"/>
                <w:b w:val="0"/>
                <w:sz w:val="18"/>
              </w:rPr>
              <w:t>Medium; higher when the time, user or source is unusual.</w:t>
            </w:r>
          </w:p>
        </w:tc>
      </w:tr>
      <w:tr>
        <w:tc>
          <w:tcPr>
            <w:tcW w:type="dxa" w:w="5112"/>
            <w:vAlign w:val="center"/>
            <w:shd w:fill="EAF2F8"/>
          </w:tcPr>
          <w:p>
            <w:r/>
            <w:r>
              <w:rPr>
                <w:rFonts w:ascii="Aptos" w:hAnsi="Aptos"/>
                <w:b/>
                <w:sz w:val="18"/>
              </w:rPr>
              <w:t>Detection / Monitoring Logic</w:t>
            </w:r>
          </w:p>
        </w:tc>
        <w:tc>
          <w:tcPr>
            <w:tcW w:type="dxa" w:w="5112"/>
            <w:vAlign w:val="center"/>
          </w:tcPr>
          <w:p>
            <w:r/>
            <w:r>
              <w:rPr>
                <w:rFonts w:ascii="Aptos" w:hAnsi="Aptos"/>
                <w:b w:val="0"/>
                <w:sz w:val="18"/>
              </w:rPr>
              <w:t>Review successful logons for unusual accounts, unusual times, unexpected logon types or other anomalies.</w:t>
            </w:r>
          </w:p>
        </w:tc>
      </w:tr>
      <w:tr>
        <w:tc>
          <w:tcPr>
            <w:tcW w:type="dxa" w:w="5112"/>
            <w:vAlign w:val="center"/>
            <w:shd w:fill="EAF2F8"/>
          </w:tcPr>
          <w:p>
            <w:r/>
            <w:r>
              <w:rPr>
                <w:rFonts w:ascii="Aptos" w:hAnsi="Aptos"/>
                <w:b/>
                <w:sz w:val="18"/>
              </w:rPr>
              <w:t>Response</w:t>
            </w:r>
          </w:p>
        </w:tc>
        <w:tc>
          <w:tcPr>
            <w:tcW w:type="dxa" w:w="5112"/>
            <w:vAlign w:val="center"/>
          </w:tcPr>
          <w:p>
            <w:r/>
            <w:r>
              <w:rPr>
                <w:rFonts w:ascii="Aptos" w:hAnsi="Aptos"/>
                <w:b w:val="0"/>
                <w:sz w:val="18"/>
              </w:rPr>
              <w:t>Verify the user and timing. If the login is not expected, review related events, account activity and source information.</w:t>
            </w:r>
          </w:p>
        </w:tc>
      </w:tr>
    </w:tbl>
    <w:p/>
    <w:p>
      <w:pPr>
        <w:jc w:val="center"/>
      </w:pPr>
      <w:r>
        <w:drawing>
          <wp:inline xmlns:a="http://schemas.openxmlformats.org/drawingml/2006/main" xmlns:pic="http://schemas.openxmlformats.org/drawingml/2006/picture">
            <wp:extent cx="5852160" cy="4408170"/>
            <wp:docPr id="2" name="Picture 2"/>
            <wp:cNvGraphicFramePr>
              <a:graphicFrameLocks noChangeAspect="1"/>
            </wp:cNvGraphicFramePr>
            <a:graphic>
              <a:graphicData uri="http://schemas.openxmlformats.org/drawingml/2006/picture">
                <pic:pic>
                  <pic:nvPicPr>
                    <pic:cNvPr id="0" name="153433.jpg"/>
                    <pic:cNvPicPr/>
                  </pic:nvPicPr>
                  <pic:blipFill>
                    <a:blip r:embed="rId10"/>
                    <a:stretch>
                      <a:fillRect/>
                    </a:stretch>
                  </pic:blipFill>
                  <pic:spPr>
                    <a:xfrm>
                      <a:off x="0" y="0"/>
                      <a:ext cx="5852160" cy="4408170"/>
                    </a:xfrm>
                    <a:prstGeom prst="rect"/>
                  </pic:spPr>
                </pic:pic>
              </a:graphicData>
            </a:graphic>
          </wp:inline>
        </w:drawing>
      </w:r>
    </w:p>
    <w:p>
      <w:pPr>
        <w:pStyle w:val="SmallNote"/>
        <w:jc w:val="center"/>
      </w:pPr>
      <w:r>
        <w:t>Figure 2. Supplied Event Viewer evidence filtered for Event ID 4624 (6,012 events shown in the filter).</w:t>
      </w:r>
    </w:p>
    <w:p/>
    <w:p>
      <w:pPr>
        <w:pStyle w:val="Heading2"/>
      </w:pPr>
      <w:r>
        <w:t>Detection Rule 3: Explicit Credential Usage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rFonts w:ascii="Aptos" w:hAnsi="Aptos"/>
                <w:b/>
                <w:sz w:val="18"/>
              </w:rPr>
              <w:t>Event ID</w:t>
            </w:r>
          </w:p>
        </w:tc>
        <w:tc>
          <w:tcPr>
            <w:tcW w:type="dxa" w:w="5112"/>
            <w:vAlign w:val="center"/>
          </w:tcPr>
          <w:p>
            <w:r/>
            <w:r>
              <w:rPr>
                <w:rFonts w:ascii="Aptos" w:hAnsi="Aptos"/>
                <w:b w:val="0"/>
                <w:sz w:val="18"/>
              </w:rPr>
              <w:t>4648</w:t>
            </w:r>
          </w:p>
        </w:tc>
      </w:tr>
      <w:tr>
        <w:tc>
          <w:tcPr>
            <w:tcW w:type="dxa" w:w="5112"/>
            <w:vAlign w:val="center"/>
            <w:shd w:fill="EAF2F8"/>
          </w:tcPr>
          <w:p>
            <w:r/>
            <w:r>
              <w:rPr>
                <w:rFonts w:ascii="Aptos" w:hAnsi="Aptos"/>
                <w:b/>
                <w:sz w:val="18"/>
              </w:rPr>
              <w:t>Log</w:t>
            </w:r>
          </w:p>
        </w:tc>
        <w:tc>
          <w:tcPr>
            <w:tcW w:type="dxa" w:w="5112"/>
            <w:vAlign w:val="center"/>
          </w:tcPr>
          <w:p>
            <w:r/>
            <w:r>
              <w:rPr>
                <w:rFonts w:ascii="Aptos" w:hAnsi="Aptos"/>
                <w:b w:val="0"/>
                <w:sz w:val="18"/>
              </w:rPr>
              <w:t>Windows Logs → Security</w:t>
            </w:r>
          </w:p>
        </w:tc>
      </w:tr>
      <w:tr>
        <w:tc>
          <w:tcPr>
            <w:tcW w:type="dxa" w:w="5112"/>
            <w:vAlign w:val="center"/>
            <w:shd w:fill="EAF2F8"/>
          </w:tcPr>
          <w:p>
            <w:r/>
            <w:r>
              <w:rPr>
                <w:rFonts w:ascii="Aptos" w:hAnsi="Aptos"/>
                <w:b/>
                <w:sz w:val="18"/>
              </w:rPr>
              <w:t>Meaning</w:t>
            </w:r>
          </w:p>
        </w:tc>
        <w:tc>
          <w:tcPr>
            <w:tcW w:type="dxa" w:w="5112"/>
            <w:vAlign w:val="center"/>
          </w:tcPr>
          <w:p>
            <w:r/>
            <w:r>
              <w:rPr>
                <w:rFonts w:ascii="Aptos" w:hAnsi="Aptos"/>
                <w:b w:val="0"/>
                <w:sz w:val="18"/>
              </w:rPr>
              <w:t>A process attempted to use explicitly supplied credentials.</w:t>
            </w:r>
          </w:p>
        </w:tc>
      </w:tr>
      <w:tr>
        <w:tc>
          <w:tcPr>
            <w:tcW w:type="dxa" w:w="5112"/>
            <w:vAlign w:val="center"/>
            <w:shd w:fill="EAF2F8"/>
          </w:tcPr>
          <w:p>
            <w:r/>
            <w:r>
              <w:rPr>
                <w:rFonts w:ascii="Aptos" w:hAnsi="Aptos"/>
                <w:b/>
                <w:sz w:val="18"/>
              </w:rPr>
              <w:t>Risk</w:t>
            </w:r>
          </w:p>
        </w:tc>
        <w:tc>
          <w:tcPr>
            <w:tcW w:type="dxa" w:w="5112"/>
            <w:vAlign w:val="center"/>
          </w:tcPr>
          <w:p>
            <w:r/>
            <w:r>
              <w:rPr>
                <w:rFonts w:ascii="Aptos" w:hAnsi="Aptos"/>
                <w:b w:val="0"/>
                <w:sz w:val="18"/>
              </w:rPr>
              <w:t>Medium to High depending on the process, account and target.</w:t>
            </w:r>
          </w:p>
        </w:tc>
      </w:tr>
      <w:tr>
        <w:tc>
          <w:tcPr>
            <w:tcW w:type="dxa" w:w="5112"/>
            <w:vAlign w:val="center"/>
            <w:shd w:fill="EAF2F8"/>
          </w:tcPr>
          <w:p>
            <w:r/>
            <w:r>
              <w:rPr>
                <w:rFonts w:ascii="Aptos" w:hAnsi="Aptos"/>
                <w:b/>
                <w:sz w:val="18"/>
              </w:rPr>
              <w:t>Detection / Monitoring Logic</w:t>
            </w:r>
          </w:p>
        </w:tc>
        <w:tc>
          <w:tcPr>
            <w:tcW w:type="dxa" w:w="5112"/>
            <w:vAlign w:val="center"/>
          </w:tcPr>
          <w:p>
            <w:r/>
            <w:r>
              <w:rPr>
                <w:rFonts w:ascii="Aptos" w:hAnsi="Aptos"/>
                <w:b w:val="0"/>
                <w:sz w:val="18"/>
              </w:rPr>
              <w:t>Investigate unexpected 4648 events, especially when the account, process or target resource is unusual.</w:t>
            </w:r>
          </w:p>
        </w:tc>
      </w:tr>
      <w:tr>
        <w:tc>
          <w:tcPr>
            <w:tcW w:type="dxa" w:w="5112"/>
            <w:vAlign w:val="center"/>
            <w:shd w:fill="EAF2F8"/>
          </w:tcPr>
          <w:p>
            <w:r/>
            <w:r>
              <w:rPr>
                <w:rFonts w:ascii="Aptos" w:hAnsi="Aptos"/>
                <w:b/>
                <w:sz w:val="18"/>
              </w:rPr>
              <w:t>Response</w:t>
            </w:r>
          </w:p>
        </w:tc>
        <w:tc>
          <w:tcPr>
            <w:tcW w:type="dxa" w:w="5112"/>
            <w:vAlign w:val="center"/>
          </w:tcPr>
          <w:p>
            <w:r/>
            <w:r>
              <w:rPr>
                <w:rFonts w:ascii="Aptos" w:hAnsi="Aptos"/>
                <w:b w:val="0"/>
                <w:sz w:val="18"/>
              </w:rPr>
              <w:t>Identify the account, process and target involved. Confirm whether the activity is legitimate. If unexplained, investigate the process and related authentication events.</w:t>
            </w:r>
          </w:p>
        </w:tc>
      </w:tr>
    </w:tbl>
    <w:p/>
    <w:p>
      <w:pPr>
        <w:jc w:val="center"/>
      </w:pPr>
      <w:r>
        <w:drawing>
          <wp:inline xmlns:a="http://schemas.openxmlformats.org/drawingml/2006/main" xmlns:pic="http://schemas.openxmlformats.org/drawingml/2006/picture">
            <wp:extent cx="5852160" cy="4408170"/>
            <wp:docPr id="3" name="Picture 3"/>
            <wp:cNvGraphicFramePr>
              <a:graphicFrameLocks noChangeAspect="1"/>
            </wp:cNvGraphicFramePr>
            <a:graphic>
              <a:graphicData uri="http://schemas.openxmlformats.org/drawingml/2006/picture">
                <pic:pic>
                  <pic:nvPicPr>
                    <pic:cNvPr id="0" name="153437.jpg"/>
                    <pic:cNvPicPr/>
                  </pic:nvPicPr>
                  <pic:blipFill>
                    <a:blip r:embed="rId11"/>
                    <a:stretch>
                      <a:fillRect/>
                    </a:stretch>
                  </pic:blipFill>
                  <pic:spPr>
                    <a:xfrm>
                      <a:off x="0" y="0"/>
                      <a:ext cx="5852160" cy="4408170"/>
                    </a:xfrm>
                    <a:prstGeom prst="rect"/>
                  </pic:spPr>
                </pic:pic>
              </a:graphicData>
            </a:graphic>
          </wp:inline>
        </w:drawing>
      </w:r>
    </w:p>
    <w:p>
      <w:pPr>
        <w:pStyle w:val="SmallNote"/>
        <w:jc w:val="center"/>
      </w:pPr>
      <w:r>
        <w:t>Figure 3. Supplied Event Viewer evidence filtered for Event ID 4648 (169 events shown in the filter).</w:t>
      </w:r>
    </w:p>
    <w:p/>
    <w:p>
      <w:pPr>
        <w:pStyle w:val="Heading2"/>
      </w:pPr>
      <w:r>
        <w:t>Detection Rule 4: Special Privileges Assigned to a New Logon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rFonts w:ascii="Aptos" w:hAnsi="Aptos"/>
                <w:b/>
                <w:sz w:val="18"/>
              </w:rPr>
              <w:t>Event ID</w:t>
            </w:r>
          </w:p>
        </w:tc>
        <w:tc>
          <w:tcPr>
            <w:tcW w:type="dxa" w:w="5112"/>
            <w:vAlign w:val="center"/>
          </w:tcPr>
          <w:p>
            <w:r/>
            <w:r>
              <w:rPr>
                <w:rFonts w:ascii="Aptos" w:hAnsi="Aptos"/>
                <w:b w:val="0"/>
                <w:sz w:val="18"/>
              </w:rPr>
              <w:t>4672</w:t>
            </w:r>
          </w:p>
        </w:tc>
      </w:tr>
      <w:tr>
        <w:tc>
          <w:tcPr>
            <w:tcW w:type="dxa" w:w="5112"/>
            <w:vAlign w:val="center"/>
            <w:shd w:fill="EAF2F8"/>
          </w:tcPr>
          <w:p>
            <w:r/>
            <w:r>
              <w:rPr>
                <w:rFonts w:ascii="Aptos" w:hAnsi="Aptos"/>
                <w:b/>
                <w:sz w:val="18"/>
              </w:rPr>
              <w:t>Log</w:t>
            </w:r>
          </w:p>
        </w:tc>
        <w:tc>
          <w:tcPr>
            <w:tcW w:type="dxa" w:w="5112"/>
            <w:vAlign w:val="center"/>
          </w:tcPr>
          <w:p>
            <w:r/>
            <w:r>
              <w:rPr>
                <w:rFonts w:ascii="Aptos" w:hAnsi="Aptos"/>
                <w:b w:val="0"/>
                <w:sz w:val="18"/>
              </w:rPr>
              <w:t>Windows Logs → Security</w:t>
            </w:r>
          </w:p>
        </w:tc>
      </w:tr>
      <w:tr>
        <w:tc>
          <w:tcPr>
            <w:tcW w:type="dxa" w:w="5112"/>
            <w:vAlign w:val="center"/>
            <w:shd w:fill="EAF2F8"/>
          </w:tcPr>
          <w:p>
            <w:r/>
            <w:r>
              <w:rPr>
                <w:rFonts w:ascii="Aptos" w:hAnsi="Aptos"/>
                <w:b/>
                <w:sz w:val="18"/>
              </w:rPr>
              <w:t>Meaning</w:t>
            </w:r>
          </w:p>
        </w:tc>
        <w:tc>
          <w:tcPr>
            <w:tcW w:type="dxa" w:w="5112"/>
            <w:vAlign w:val="center"/>
          </w:tcPr>
          <w:p>
            <w:r/>
            <w:r>
              <w:rPr>
                <w:rFonts w:ascii="Aptos" w:hAnsi="Aptos"/>
                <w:b w:val="0"/>
                <w:sz w:val="18"/>
              </w:rPr>
              <w:t>Special privileges were assigned to a new logon.</w:t>
            </w:r>
          </w:p>
        </w:tc>
      </w:tr>
      <w:tr>
        <w:tc>
          <w:tcPr>
            <w:tcW w:type="dxa" w:w="5112"/>
            <w:vAlign w:val="center"/>
            <w:shd w:fill="EAF2F8"/>
          </w:tcPr>
          <w:p>
            <w:r/>
            <w:r>
              <w:rPr>
                <w:rFonts w:ascii="Aptos" w:hAnsi="Aptos"/>
                <w:b/>
                <w:sz w:val="18"/>
              </w:rPr>
              <w:t>Risk</w:t>
            </w:r>
          </w:p>
        </w:tc>
        <w:tc>
          <w:tcPr>
            <w:tcW w:type="dxa" w:w="5112"/>
            <w:vAlign w:val="center"/>
          </w:tcPr>
          <w:p>
            <w:r/>
            <w:r>
              <w:rPr>
                <w:rFonts w:ascii="Aptos" w:hAnsi="Aptos"/>
                <w:b w:val="0"/>
                <w:sz w:val="18"/>
              </w:rPr>
              <w:t>Medium to High; important when associated with an unexpected account.</w:t>
            </w:r>
          </w:p>
        </w:tc>
      </w:tr>
      <w:tr>
        <w:tc>
          <w:tcPr>
            <w:tcW w:type="dxa" w:w="5112"/>
            <w:vAlign w:val="center"/>
            <w:shd w:fill="EAF2F8"/>
          </w:tcPr>
          <w:p>
            <w:r/>
            <w:r>
              <w:rPr>
                <w:rFonts w:ascii="Aptos" w:hAnsi="Aptos"/>
                <w:b/>
                <w:sz w:val="18"/>
              </w:rPr>
              <w:t>Detection / Monitoring Logic</w:t>
            </w:r>
          </w:p>
        </w:tc>
        <w:tc>
          <w:tcPr>
            <w:tcW w:type="dxa" w:w="5112"/>
            <w:vAlign w:val="center"/>
          </w:tcPr>
          <w:p>
            <w:r/>
            <w:r>
              <w:rPr>
                <w:rFonts w:ascii="Aptos" w:hAnsi="Aptos"/>
                <w:b w:val="0"/>
                <w:sz w:val="18"/>
              </w:rPr>
              <w:t>Monitor privileged logons and determine whether the account should legitimately receive special privileges.</w:t>
            </w:r>
          </w:p>
        </w:tc>
      </w:tr>
      <w:tr>
        <w:tc>
          <w:tcPr>
            <w:tcW w:type="dxa" w:w="5112"/>
            <w:vAlign w:val="center"/>
            <w:shd w:fill="EAF2F8"/>
          </w:tcPr>
          <w:p>
            <w:r/>
            <w:r>
              <w:rPr>
                <w:rFonts w:ascii="Aptos" w:hAnsi="Aptos"/>
                <w:b/>
                <w:sz w:val="18"/>
              </w:rPr>
              <w:t>Response</w:t>
            </w:r>
          </w:p>
        </w:tc>
        <w:tc>
          <w:tcPr>
            <w:tcW w:type="dxa" w:w="5112"/>
            <w:vAlign w:val="center"/>
          </w:tcPr>
          <w:p>
            <w:r/>
            <w:r>
              <w:rPr>
                <w:rFonts w:ascii="Aptos" w:hAnsi="Aptos"/>
                <w:b w:val="0"/>
                <w:sz w:val="18"/>
              </w:rPr>
              <w:t>Verify the account and reason for privileged access. Correlate with Event ID 4624 and other administrative activity. Escalate unexpected privileged access for investigation.</w:t>
            </w:r>
          </w:p>
        </w:tc>
      </w:tr>
    </w:tbl>
    <w:p/>
    <w:p>
      <w:pPr>
        <w:jc w:val="center"/>
      </w:pPr>
      <w:r>
        <w:drawing>
          <wp:inline xmlns:a="http://schemas.openxmlformats.org/drawingml/2006/main" xmlns:pic="http://schemas.openxmlformats.org/drawingml/2006/picture">
            <wp:extent cx="5852160" cy="4408170"/>
            <wp:docPr id="4" name="Picture 4"/>
            <wp:cNvGraphicFramePr>
              <a:graphicFrameLocks noChangeAspect="1"/>
            </wp:cNvGraphicFramePr>
            <a:graphic>
              <a:graphicData uri="http://schemas.openxmlformats.org/drawingml/2006/picture">
                <pic:pic>
                  <pic:nvPicPr>
                    <pic:cNvPr id="0" name="153435.jpg"/>
                    <pic:cNvPicPr/>
                  </pic:nvPicPr>
                  <pic:blipFill>
                    <a:blip r:embed="rId12"/>
                    <a:stretch>
                      <a:fillRect/>
                    </a:stretch>
                  </pic:blipFill>
                  <pic:spPr>
                    <a:xfrm>
                      <a:off x="0" y="0"/>
                      <a:ext cx="5852160" cy="4408170"/>
                    </a:xfrm>
                    <a:prstGeom prst="rect"/>
                  </pic:spPr>
                </pic:pic>
              </a:graphicData>
            </a:graphic>
          </wp:inline>
        </w:drawing>
      </w:r>
    </w:p>
    <w:p>
      <w:pPr>
        <w:pStyle w:val="SmallNote"/>
        <w:jc w:val="center"/>
      </w:pPr>
      <w:r>
        <w:t>Figure 4. Supplied Event Viewer evidence filtered for Event ID 4672 (5,867 events shown in the filter).</w:t>
      </w:r>
    </w:p>
    <w:p/>
    <w:p>
      <w:pPr>
        <w:pStyle w:val="Heading2"/>
      </w:pPr>
      <w:r>
        <w:t>Detection Rule 5: Security Audit Log Cleared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AF2F8"/>
          </w:tcPr>
          <w:p>
            <w:r/>
            <w:r>
              <w:rPr>
                <w:rFonts w:ascii="Aptos" w:hAnsi="Aptos"/>
                <w:b/>
                <w:sz w:val="18"/>
              </w:rPr>
              <w:t>Event ID</w:t>
            </w:r>
          </w:p>
        </w:tc>
        <w:tc>
          <w:tcPr>
            <w:tcW w:type="dxa" w:w="5112"/>
            <w:vAlign w:val="center"/>
          </w:tcPr>
          <w:p>
            <w:r/>
            <w:r>
              <w:rPr>
                <w:rFonts w:ascii="Aptos" w:hAnsi="Aptos"/>
                <w:b w:val="0"/>
                <w:sz w:val="18"/>
              </w:rPr>
              <w:t>1102</w:t>
            </w:r>
          </w:p>
        </w:tc>
      </w:tr>
      <w:tr>
        <w:tc>
          <w:tcPr>
            <w:tcW w:type="dxa" w:w="5112"/>
            <w:vAlign w:val="center"/>
            <w:shd w:fill="EAF2F8"/>
          </w:tcPr>
          <w:p>
            <w:r/>
            <w:r>
              <w:rPr>
                <w:rFonts w:ascii="Aptos" w:hAnsi="Aptos"/>
                <w:b/>
                <w:sz w:val="18"/>
              </w:rPr>
              <w:t>Log</w:t>
            </w:r>
          </w:p>
        </w:tc>
        <w:tc>
          <w:tcPr>
            <w:tcW w:type="dxa" w:w="5112"/>
            <w:vAlign w:val="center"/>
          </w:tcPr>
          <w:p>
            <w:r/>
            <w:r>
              <w:rPr>
                <w:rFonts w:ascii="Aptos" w:hAnsi="Aptos"/>
                <w:b w:val="0"/>
                <w:sz w:val="18"/>
              </w:rPr>
              <w:t>Windows Logs → Security</w:t>
            </w:r>
          </w:p>
        </w:tc>
      </w:tr>
      <w:tr>
        <w:tc>
          <w:tcPr>
            <w:tcW w:type="dxa" w:w="5112"/>
            <w:vAlign w:val="center"/>
            <w:shd w:fill="EAF2F8"/>
          </w:tcPr>
          <w:p>
            <w:r/>
            <w:r>
              <w:rPr>
                <w:rFonts w:ascii="Aptos" w:hAnsi="Aptos"/>
                <w:b/>
                <w:sz w:val="18"/>
              </w:rPr>
              <w:t>Meaning</w:t>
            </w:r>
          </w:p>
        </w:tc>
        <w:tc>
          <w:tcPr>
            <w:tcW w:type="dxa" w:w="5112"/>
            <w:vAlign w:val="center"/>
          </w:tcPr>
          <w:p>
            <w:r/>
            <w:r>
              <w:rPr>
                <w:rFonts w:ascii="Aptos" w:hAnsi="Aptos"/>
                <w:b w:val="0"/>
                <w:sz w:val="18"/>
              </w:rPr>
              <w:t>The Windows Security audit log was cleared.</w:t>
            </w:r>
          </w:p>
        </w:tc>
      </w:tr>
      <w:tr>
        <w:tc>
          <w:tcPr>
            <w:tcW w:type="dxa" w:w="5112"/>
            <w:vAlign w:val="center"/>
            <w:shd w:fill="EAF2F8"/>
          </w:tcPr>
          <w:p>
            <w:r/>
            <w:r>
              <w:rPr>
                <w:rFonts w:ascii="Aptos" w:hAnsi="Aptos"/>
                <w:b/>
                <w:sz w:val="18"/>
              </w:rPr>
              <w:t>Risk</w:t>
            </w:r>
          </w:p>
        </w:tc>
        <w:tc>
          <w:tcPr>
            <w:tcW w:type="dxa" w:w="5112"/>
            <w:vAlign w:val="center"/>
          </w:tcPr>
          <w:p>
            <w:r/>
            <w:r>
              <w:rPr>
                <w:rFonts w:ascii="Aptos" w:hAnsi="Aptos"/>
                <w:b w:val="0"/>
                <w:sz w:val="18"/>
              </w:rPr>
              <w:t>High/Critical when unexpected.</w:t>
            </w:r>
          </w:p>
        </w:tc>
      </w:tr>
      <w:tr>
        <w:tc>
          <w:tcPr>
            <w:tcW w:type="dxa" w:w="5112"/>
            <w:vAlign w:val="center"/>
            <w:shd w:fill="EAF2F8"/>
          </w:tcPr>
          <w:p>
            <w:r/>
            <w:r>
              <w:rPr>
                <w:rFonts w:ascii="Aptos" w:hAnsi="Aptos"/>
                <w:b/>
                <w:sz w:val="18"/>
              </w:rPr>
              <w:t>Detection / Monitoring Logic</w:t>
            </w:r>
          </w:p>
        </w:tc>
        <w:tc>
          <w:tcPr>
            <w:tcW w:type="dxa" w:w="5112"/>
            <w:vAlign w:val="center"/>
          </w:tcPr>
          <w:p>
            <w:r/>
            <w:r>
              <w:rPr>
                <w:rFonts w:ascii="Aptos" w:hAnsi="Aptos"/>
                <w:b w:val="0"/>
                <w:sz w:val="18"/>
              </w:rPr>
              <w:t>Alert whenever Event ID 1102 occurs outside an approved administrative maintenance procedure.</w:t>
            </w:r>
          </w:p>
        </w:tc>
      </w:tr>
      <w:tr>
        <w:tc>
          <w:tcPr>
            <w:tcW w:type="dxa" w:w="5112"/>
            <w:vAlign w:val="center"/>
            <w:shd w:fill="EAF2F8"/>
          </w:tcPr>
          <w:p>
            <w:r/>
            <w:r>
              <w:rPr>
                <w:rFonts w:ascii="Aptos" w:hAnsi="Aptos"/>
                <w:b/>
                <w:sz w:val="18"/>
              </w:rPr>
              <w:t>Response</w:t>
            </w:r>
          </w:p>
        </w:tc>
        <w:tc>
          <w:tcPr>
            <w:tcW w:type="dxa" w:w="5112"/>
            <w:vAlign w:val="center"/>
          </w:tcPr>
          <w:p>
            <w:r/>
            <w:r>
              <w:rPr>
                <w:rFonts w:ascii="Aptos" w:hAnsi="Aptos"/>
                <w:b w:val="0"/>
                <w:sz w:val="18"/>
              </w:rPr>
              <w:t>Record the time and account. Investigate activity immediately before the log was cleared, correlate with other available logs, preserve evidence and escalate as a potential log-tampering event.</w:t>
            </w:r>
          </w:p>
        </w:tc>
      </w:tr>
    </w:tbl>
    <w:p/>
    <w:p>
      <w:pPr>
        <w:jc w:val="center"/>
      </w:pPr>
      <w:r>
        <w:drawing>
          <wp:inline xmlns:a="http://schemas.openxmlformats.org/drawingml/2006/main" xmlns:pic="http://schemas.openxmlformats.org/drawingml/2006/picture">
            <wp:extent cx="5852160" cy="3120846"/>
            <wp:docPr id="5" name="Picture 5"/>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5852160" cy="3120846"/>
                    </a:xfrm>
                    <a:prstGeom prst="rect"/>
                  </pic:spPr>
                </pic:pic>
              </a:graphicData>
            </a:graphic>
          </wp:inline>
        </w:drawing>
      </w:r>
    </w:p>
    <w:p>
      <w:pPr>
        <w:pStyle w:val="SmallNote"/>
        <w:jc w:val="center"/>
      </w:pPr>
      <w:r>
        <w:t>Figure 5. Event Viewer evidence filtered for Event ID 1102 (0 events found — no security-log clearing detected on this endpoint).</w:t>
      </w:r>
    </w:p>
    <w:p>
      <w:r>
        <w:rPr>
          <w:b/>
        </w:rPr>
        <w:t xml:space="preserve">Evidence status: </w:t>
      </w:r>
      <w:r>
        <w:t>Screenshot provided (Figure 5). The Security log was filtered for Event ID 1102 and returned 0 events, confirming that no audit-log clearing occurred on this endpoint. This rule remains a recommended baseline detection.</w:t>
      </w:r>
    </w:p>
    <w:p/>
    <w:p>
      <w:r>
        <w:br w:type="page"/>
      </w:r>
    </w:p>
    <w:p>
      <w:pPr>
        <w:pStyle w:val="Heading1"/>
      </w:pPr>
      <w:r>
        <w:t>5. Sample Log-Review Report</w:t>
      </w:r>
    </w:p>
    <w:p>
      <w:r>
        <w:t>The following summary converts the observed Event Viewer filters into a concise security-review format. The event counts are the counts visible in the supplied screenshots at the time of capture.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rFonts w:ascii="Aptos" w:hAnsi="Aptos"/>
                <w:b/>
                <w:sz w:val="17"/>
              </w:rPr>
              <w:t>Event ID</w:t>
            </w:r>
          </w:p>
        </w:tc>
        <w:tc>
          <w:tcPr>
            <w:tcW w:type="dxa" w:w="2045"/>
            <w:vAlign w:val="center"/>
            <w:shd w:fill="D9EAF7"/>
          </w:tcPr>
          <w:p>
            <w:r/>
            <w:r>
              <w:rPr>
                <w:rFonts w:ascii="Aptos" w:hAnsi="Aptos"/>
                <w:b/>
                <w:sz w:val="17"/>
              </w:rPr>
              <w:t>Detection</w:t>
            </w:r>
          </w:p>
        </w:tc>
        <w:tc>
          <w:tcPr>
            <w:tcW w:type="dxa" w:w="2045"/>
            <w:vAlign w:val="center"/>
            <w:shd w:fill="D9EAF7"/>
          </w:tcPr>
          <w:p>
            <w:r/>
            <w:r>
              <w:rPr>
                <w:rFonts w:ascii="Aptos" w:hAnsi="Aptos"/>
                <w:b/>
                <w:sz w:val="17"/>
              </w:rPr>
              <w:t>Observed Filter Count</w:t>
            </w:r>
          </w:p>
        </w:tc>
        <w:tc>
          <w:tcPr>
            <w:tcW w:type="dxa" w:w="2045"/>
            <w:vAlign w:val="center"/>
            <w:shd w:fill="D9EAF7"/>
          </w:tcPr>
          <w:p>
            <w:r/>
            <w:r>
              <w:rPr>
                <w:rFonts w:ascii="Aptos" w:hAnsi="Aptos"/>
                <w:b/>
                <w:sz w:val="17"/>
              </w:rPr>
              <w:t>Risk</w:t>
            </w:r>
          </w:p>
        </w:tc>
        <w:tc>
          <w:tcPr>
            <w:tcW w:type="dxa" w:w="2045"/>
            <w:vAlign w:val="center"/>
            <w:shd w:fill="D9EAF7"/>
          </w:tcPr>
          <w:p>
            <w:r/>
            <w:r>
              <w:rPr>
                <w:rFonts w:ascii="Aptos" w:hAnsi="Aptos"/>
                <w:b/>
                <w:sz w:val="17"/>
              </w:rPr>
              <w:t>Initial Action</w:t>
            </w:r>
          </w:p>
        </w:tc>
      </w:tr>
      <w:tr>
        <w:tc>
          <w:tcPr>
            <w:tcW w:type="dxa" w:w="2045"/>
            <w:vAlign w:val="center"/>
          </w:tcPr>
          <w:p>
            <w:r/>
            <w:r>
              <w:rPr>
                <w:rFonts w:ascii="Aptos" w:hAnsi="Aptos"/>
                <w:b w:val="0"/>
                <w:sz w:val="17"/>
              </w:rPr>
              <w:t>4625</w:t>
            </w:r>
          </w:p>
        </w:tc>
        <w:tc>
          <w:tcPr>
            <w:tcW w:type="dxa" w:w="2045"/>
            <w:vAlign w:val="center"/>
          </w:tcPr>
          <w:p>
            <w:r/>
            <w:r>
              <w:rPr>
                <w:rFonts w:ascii="Aptos" w:hAnsi="Aptos"/>
                <w:b w:val="0"/>
                <w:sz w:val="17"/>
              </w:rPr>
              <w:t>Failed logon</w:t>
            </w:r>
          </w:p>
        </w:tc>
        <w:tc>
          <w:tcPr>
            <w:tcW w:type="dxa" w:w="2045"/>
            <w:vAlign w:val="center"/>
          </w:tcPr>
          <w:p>
            <w:r/>
            <w:r>
              <w:rPr>
                <w:rFonts w:ascii="Aptos" w:hAnsi="Aptos"/>
                <w:b w:val="0"/>
                <w:sz w:val="17"/>
              </w:rPr>
              <w:t>132</w:t>
            </w:r>
          </w:p>
        </w:tc>
        <w:tc>
          <w:tcPr>
            <w:tcW w:type="dxa" w:w="2045"/>
            <w:vAlign w:val="center"/>
          </w:tcPr>
          <w:p>
            <w:r/>
            <w:r>
              <w:rPr>
                <w:rFonts w:ascii="Aptos" w:hAnsi="Aptos"/>
                <w:b w:val="0"/>
                <w:sz w:val="17"/>
              </w:rPr>
              <w:t>Medium–High</w:t>
            </w:r>
          </w:p>
        </w:tc>
        <w:tc>
          <w:tcPr>
            <w:tcW w:type="dxa" w:w="2045"/>
            <w:vAlign w:val="center"/>
          </w:tcPr>
          <w:p>
            <w:r/>
            <w:r>
              <w:rPr>
                <w:rFonts w:ascii="Aptos" w:hAnsi="Aptos"/>
                <w:b w:val="0"/>
                <w:sz w:val="17"/>
              </w:rPr>
              <w:t>Investigate repeated failures</w:t>
            </w:r>
          </w:p>
        </w:tc>
      </w:tr>
      <w:tr>
        <w:tc>
          <w:tcPr>
            <w:tcW w:type="dxa" w:w="2045"/>
            <w:vAlign w:val="center"/>
          </w:tcPr>
          <w:p>
            <w:r/>
            <w:r>
              <w:rPr>
                <w:rFonts w:ascii="Aptos" w:hAnsi="Aptos"/>
                <w:b w:val="0"/>
                <w:sz w:val="17"/>
              </w:rPr>
              <w:t>4624</w:t>
            </w:r>
          </w:p>
        </w:tc>
        <w:tc>
          <w:tcPr>
            <w:tcW w:type="dxa" w:w="2045"/>
            <w:vAlign w:val="center"/>
          </w:tcPr>
          <w:p>
            <w:r/>
            <w:r>
              <w:rPr>
                <w:rFonts w:ascii="Aptos" w:hAnsi="Aptos"/>
                <w:b w:val="0"/>
                <w:sz w:val="17"/>
              </w:rPr>
              <w:t>Successful logon</w:t>
            </w:r>
          </w:p>
        </w:tc>
        <w:tc>
          <w:tcPr>
            <w:tcW w:type="dxa" w:w="2045"/>
            <w:vAlign w:val="center"/>
          </w:tcPr>
          <w:p>
            <w:r/>
            <w:r>
              <w:rPr>
                <w:rFonts w:ascii="Aptos" w:hAnsi="Aptos"/>
                <w:b w:val="0"/>
                <w:sz w:val="17"/>
              </w:rPr>
              <w:t>6,012</w:t>
            </w:r>
          </w:p>
        </w:tc>
        <w:tc>
          <w:tcPr>
            <w:tcW w:type="dxa" w:w="2045"/>
            <w:vAlign w:val="center"/>
          </w:tcPr>
          <w:p>
            <w:r/>
            <w:r>
              <w:rPr>
                <w:rFonts w:ascii="Aptos" w:hAnsi="Aptos"/>
                <w:b w:val="0"/>
                <w:sz w:val="17"/>
              </w:rPr>
              <w:t>Medium</w:t>
            </w:r>
          </w:p>
        </w:tc>
        <w:tc>
          <w:tcPr>
            <w:tcW w:type="dxa" w:w="2045"/>
            <w:vAlign w:val="center"/>
          </w:tcPr>
          <w:p>
            <w:r/>
            <w:r>
              <w:rPr>
                <w:rFonts w:ascii="Aptos" w:hAnsi="Aptos"/>
                <w:b w:val="0"/>
                <w:sz w:val="17"/>
              </w:rPr>
              <w:t>Verify user/time/source</w:t>
            </w:r>
          </w:p>
        </w:tc>
      </w:tr>
      <w:tr>
        <w:tc>
          <w:tcPr>
            <w:tcW w:type="dxa" w:w="2045"/>
            <w:vAlign w:val="center"/>
          </w:tcPr>
          <w:p>
            <w:r/>
            <w:r>
              <w:rPr>
                <w:rFonts w:ascii="Aptos" w:hAnsi="Aptos"/>
                <w:b w:val="0"/>
                <w:sz w:val="17"/>
              </w:rPr>
              <w:t>4648</w:t>
            </w:r>
          </w:p>
        </w:tc>
        <w:tc>
          <w:tcPr>
            <w:tcW w:type="dxa" w:w="2045"/>
            <w:vAlign w:val="center"/>
          </w:tcPr>
          <w:p>
            <w:r/>
            <w:r>
              <w:rPr>
                <w:rFonts w:ascii="Aptos" w:hAnsi="Aptos"/>
                <w:b w:val="0"/>
                <w:sz w:val="17"/>
              </w:rPr>
              <w:t>Explicit credentials</w:t>
            </w:r>
          </w:p>
        </w:tc>
        <w:tc>
          <w:tcPr>
            <w:tcW w:type="dxa" w:w="2045"/>
            <w:vAlign w:val="center"/>
          </w:tcPr>
          <w:p>
            <w:r/>
            <w:r>
              <w:rPr>
                <w:rFonts w:ascii="Aptos" w:hAnsi="Aptos"/>
                <w:b w:val="0"/>
                <w:sz w:val="17"/>
              </w:rPr>
              <w:t>169</w:t>
            </w:r>
          </w:p>
        </w:tc>
        <w:tc>
          <w:tcPr>
            <w:tcW w:type="dxa" w:w="2045"/>
            <w:vAlign w:val="center"/>
          </w:tcPr>
          <w:p>
            <w:r/>
            <w:r>
              <w:rPr>
                <w:rFonts w:ascii="Aptos" w:hAnsi="Aptos"/>
                <w:b w:val="0"/>
                <w:sz w:val="17"/>
              </w:rPr>
              <w:t>Medium–High</w:t>
            </w:r>
          </w:p>
        </w:tc>
        <w:tc>
          <w:tcPr>
            <w:tcW w:type="dxa" w:w="2045"/>
            <w:vAlign w:val="center"/>
          </w:tcPr>
          <w:p>
            <w:r/>
            <w:r>
              <w:rPr>
                <w:rFonts w:ascii="Aptos" w:hAnsi="Aptos"/>
                <w:b w:val="0"/>
                <w:sz w:val="17"/>
              </w:rPr>
              <w:t>Investigate account/process/target</w:t>
            </w:r>
          </w:p>
        </w:tc>
      </w:tr>
      <w:tr>
        <w:tc>
          <w:tcPr>
            <w:tcW w:type="dxa" w:w="2045"/>
            <w:vAlign w:val="center"/>
          </w:tcPr>
          <w:p>
            <w:r/>
            <w:r>
              <w:rPr>
                <w:rFonts w:ascii="Aptos" w:hAnsi="Aptos"/>
                <w:b w:val="0"/>
                <w:sz w:val="17"/>
              </w:rPr>
              <w:t>4672</w:t>
            </w:r>
          </w:p>
        </w:tc>
        <w:tc>
          <w:tcPr>
            <w:tcW w:type="dxa" w:w="2045"/>
            <w:vAlign w:val="center"/>
          </w:tcPr>
          <w:p>
            <w:r/>
            <w:r>
              <w:rPr>
                <w:rFonts w:ascii="Aptos" w:hAnsi="Aptos"/>
                <w:b w:val="0"/>
                <w:sz w:val="17"/>
              </w:rPr>
              <w:t>Special privileges</w:t>
            </w:r>
          </w:p>
        </w:tc>
        <w:tc>
          <w:tcPr>
            <w:tcW w:type="dxa" w:w="2045"/>
            <w:vAlign w:val="center"/>
          </w:tcPr>
          <w:p>
            <w:r/>
            <w:r>
              <w:rPr>
                <w:rFonts w:ascii="Aptos" w:hAnsi="Aptos"/>
                <w:b w:val="0"/>
                <w:sz w:val="17"/>
              </w:rPr>
              <w:t>5,867</w:t>
            </w:r>
          </w:p>
        </w:tc>
        <w:tc>
          <w:tcPr>
            <w:tcW w:type="dxa" w:w="2045"/>
            <w:vAlign w:val="center"/>
          </w:tcPr>
          <w:p>
            <w:r/>
            <w:r>
              <w:rPr>
                <w:rFonts w:ascii="Aptos" w:hAnsi="Aptos"/>
                <w:b w:val="0"/>
                <w:sz w:val="17"/>
              </w:rPr>
              <w:t>Medium–High</w:t>
            </w:r>
          </w:p>
        </w:tc>
        <w:tc>
          <w:tcPr>
            <w:tcW w:type="dxa" w:w="2045"/>
            <w:vAlign w:val="center"/>
          </w:tcPr>
          <w:p>
            <w:r/>
            <w:r>
              <w:rPr>
                <w:rFonts w:ascii="Aptos" w:hAnsi="Aptos"/>
                <w:b w:val="0"/>
                <w:sz w:val="17"/>
              </w:rPr>
              <w:t>Review privileged access</w:t>
            </w:r>
          </w:p>
        </w:tc>
      </w:tr>
      <w:tr>
        <w:tc>
          <w:tcPr>
            <w:tcW w:type="dxa" w:w="2045"/>
            <w:vAlign w:val="center"/>
          </w:tcPr>
          <w:p>
            <w:r/>
            <w:r>
              <w:rPr>
                <w:rFonts w:ascii="Aptos" w:hAnsi="Aptos"/>
                <w:b w:val="0"/>
                <w:sz w:val="17"/>
              </w:rPr>
              <w:t>1102</w:t>
            </w:r>
          </w:p>
        </w:tc>
        <w:tc>
          <w:tcPr>
            <w:tcW w:type="dxa" w:w="2045"/>
            <w:vAlign w:val="center"/>
          </w:tcPr>
          <w:p>
            <w:r/>
            <w:r>
              <w:rPr>
                <w:rFonts w:ascii="Aptos" w:hAnsi="Aptos"/>
                <w:b w:val="0"/>
                <w:sz w:val="17"/>
              </w:rPr>
              <w:t>Security log cleared</w:t>
            </w:r>
          </w:p>
        </w:tc>
        <w:tc>
          <w:tcPr>
            <w:tcW w:type="dxa" w:w="2045"/>
            <w:vAlign w:val="center"/>
          </w:tcPr>
          <w:p>
            <w:r/>
            <w:r>
              <w:rPr>
                <w:rFonts w:ascii="Aptos" w:hAnsi="Aptos"/>
                <w:b w:val="0"/>
                <w:sz w:val="17"/>
              </w:rPr>
              <w:t>0</w:t>
            </w:r>
          </w:p>
        </w:tc>
        <w:tc>
          <w:tcPr>
            <w:tcW w:type="dxa" w:w="2045"/>
            <w:vAlign w:val="center"/>
          </w:tcPr>
          <w:p>
            <w:r/>
            <w:r>
              <w:rPr>
                <w:rFonts w:ascii="Aptos" w:hAnsi="Aptos"/>
                <w:b w:val="0"/>
                <w:sz w:val="17"/>
              </w:rPr>
              <w:t>High/Critical</w:t>
            </w:r>
          </w:p>
        </w:tc>
        <w:tc>
          <w:tcPr>
            <w:tcW w:type="dxa" w:w="2045"/>
            <w:vAlign w:val="center"/>
          </w:tcPr>
          <w:p>
            <w:r/>
            <w:r>
              <w:rPr>
                <w:rFonts w:ascii="Aptos" w:hAnsi="Aptos"/>
                <w:b w:val="0"/>
                <w:sz w:val="17"/>
              </w:rPr>
              <w:t>Investigate possible tampering</w:t>
            </w:r>
          </w:p>
        </w:tc>
      </w:tr>
    </w:tbl>
    <w:p/>
    <w:p>
      <w:pPr>
        <w:pStyle w:val="Heading1"/>
      </w:pPr>
      <w:r>
        <w:t>6. Recommended Review Workflow</w:t>
      </w:r>
    </w:p>
    <w:p>
      <w:pPr>
        <w:pStyle w:val="ListBullet"/>
        <w:spacing w:after="40"/>
      </w:pPr>
      <w:r>
        <w:t>Filter the relevant Windows log by Event ID.</w:t>
      </w:r>
    </w:p>
    <w:p>
      <w:pPr>
        <w:pStyle w:val="ListBullet"/>
        <w:spacing w:after="40"/>
      </w:pPr>
      <w:r>
        <w:t>Review timestamp, account, source/computer and other available event details.</w:t>
      </w:r>
    </w:p>
    <w:p>
      <w:pPr>
        <w:pStyle w:val="ListBullet"/>
        <w:spacing w:after="40"/>
      </w:pPr>
      <w:r>
        <w:t>Determine whether the activity is expected business activity.</w:t>
      </w:r>
    </w:p>
    <w:p>
      <w:pPr>
        <w:pStyle w:val="ListBullet"/>
        <w:spacing w:after="40"/>
      </w:pPr>
      <w:r>
        <w:t>Correlate related events (for example, 4625/4624 authentication activity with 4672 privileged logons).</w:t>
      </w:r>
    </w:p>
    <w:p>
      <w:pPr>
        <w:pStyle w:val="ListBullet"/>
        <w:spacing w:after="40"/>
      </w:pPr>
      <w:r>
        <w:t>Escalate unexplained high-risk activity and preserve relevant evidence.</w:t>
      </w:r>
    </w:p>
    <w:p>
      <w:pPr>
        <w:pStyle w:val="ListBullet"/>
        <w:spacing w:after="40"/>
      </w:pPr>
      <w:r>
        <w:t>Document the finding, action taken and final disposition.</w:t>
      </w:r>
    </w:p>
    <w:p>
      <w:pPr>
        <w:pStyle w:val="Heading1"/>
      </w:pPr>
      <w:r>
        <w:t>7. Response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8"/>
              </w:rPr>
              <w:t>Alert</w:t>
            </w:r>
          </w:p>
        </w:tc>
        <w:tc>
          <w:tcPr>
            <w:tcW w:type="dxa" w:w="3408"/>
            <w:vAlign w:val="center"/>
            <w:shd w:fill="D9EAF7"/>
          </w:tcPr>
          <w:p>
            <w:r/>
            <w:r>
              <w:rPr>
                <w:rFonts w:ascii="Aptos" w:hAnsi="Aptos"/>
                <w:b/>
                <w:sz w:val="18"/>
              </w:rPr>
              <w:t>Immediate Response</w:t>
            </w:r>
          </w:p>
        </w:tc>
        <w:tc>
          <w:tcPr>
            <w:tcW w:type="dxa" w:w="3408"/>
            <w:vAlign w:val="center"/>
            <w:shd w:fill="D9EAF7"/>
          </w:tcPr>
          <w:p>
            <w:r/>
            <w:r>
              <w:rPr>
                <w:rFonts w:ascii="Aptos" w:hAnsi="Aptos"/>
                <w:b/>
                <w:sz w:val="18"/>
              </w:rPr>
              <w:t>Follow-up</w:t>
            </w:r>
          </w:p>
        </w:tc>
      </w:tr>
      <w:tr>
        <w:tc>
          <w:tcPr>
            <w:tcW w:type="dxa" w:w="3408"/>
            <w:vAlign w:val="center"/>
          </w:tcPr>
          <w:p>
            <w:r/>
            <w:r>
              <w:rPr>
                <w:rFonts w:ascii="Aptos" w:hAnsi="Aptos"/>
                <w:b w:val="0"/>
                <w:sz w:val="17"/>
              </w:rPr>
              <w:t>4625 – Failed logon</w:t>
            </w:r>
          </w:p>
        </w:tc>
        <w:tc>
          <w:tcPr>
            <w:tcW w:type="dxa" w:w="3408"/>
            <w:vAlign w:val="center"/>
          </w:tcPr>
          <w:p>
            <w:r/>
            <w:r>
              <w:rPr>
                <w:rFonts w:ascii="Aptos" w:hAnsi="Aptos"/>
                <w:b w:val="0"/>
                <w:sz w:val="17"/>
              </w:rPr>
              <w:t>Verify account/source and check repetition.</w:t>
            </w:r>
          </w:p>
        </w:tc>
        <w:tc>
          <w:tcPr>
            <w:tcW w:type="dxa" w:w="3408"/>
            <w:vAlign w:val="center"/>
          </w:tcPr>
          <w:p>
            <w:r/>
            <w:r>
              <w:rPr>
                <w:rFonts w:ascii="Aptos" w:hAnsi="Aptos"/>
                <w:b w:val="0"/>
                <w:sz w:val="17"/>
              </w:rPr>
              <w:t>Investigate password guessing; reset credentials if compromise is suspected.</w:t>
            </w:r>
          </w:p>
        </w:tc>
      </w:tr>
      <w:tr>
        <w:tc>
          <w:tcPr>
            <w:tcW w:type="dxa" w:w="3408"/>
            <w:vAlign w:val="center"/>
          </w:tcPr>
          <w:p>
            <w:r/>
            <w:r>
              <w:rPr>
                <w:rFonts w:ascii="Aptos" w:hAnsi="Aptos"/>
                <w:b w:val="0"/>
                <w:sz w:val="17"/>
              </w:rPr>
              <w:t>4624 – Successful logon</w:t>
            </w:r>
          </w:p>
        </w:tc>
        <w:tc>
          <w:tcPr>
            <w:tcW w:type="dxa" w:w="3408"/>
            <w:vAlign w:val="center"/>
          </w:tcPr>
          <w:p>
            <w:r/>
            <w:r>
              <w:rPr>
                <w:rFonts w:ascii="Aptos" w:hAnsi="Aptos"/>
                <w:b w:val="0"/>
                <w:sz w:val="17"/>
              </w:rPr>
              <w:t>Verify user and timing.</w:t>
            </w:r>
          </w:p>
        </w:tc>
        <w:tc>
          <w:tcPr>
            <w:tcW w:type="dxa" w:w="3408"/>
            <w:vAlign w:val="center"/>
          </w:tcPr>
          <w:p>
            <w:r/>
            <w:r>
              <w:rPr>
                <w:rFonts w:ascii="Aptos" w:hAnsi="Aptos"/>
                <w:b w:val="0"/>
                <w:sz w:val="17"/>
              </w:rPr>
              <w:t>Correlate with source, logon type and surrounding activity.</w:t>
            </w:r>
          </w:p>
        </w:tc>
      </w:tr>
      <w:tr>
        <w:tc>
          <w:tcPr>
            <w:tcW w:type="dxa" w:w="3408"/>
            <w:vAlign w:val="center"/>
          </w:tcPr>
          <w:p>
            <w:r/>
            <w:r>
              <w:rPr>
                <w:rFonts w:ascii="Aptos" w:hAnsi="Aptos"/>
                <w:b w:val="0"/>
                <w:sz w:val="17"/>
              </w:rPr>
              <w:t>4648 – Explicit credentials</w:t>
            </w:r>
          </w:p>
        </w:tc>
        <w:tc>
          <w:tcPr>
            <w:tcW w:type="dxa" w:w="3408"/>
            <w:vAlign w:val="center"/>
          </w:tcPr>
          <w:p>
            <w:r/>
            <w:r>
              <w:rPr>
                <w:rFonts w:ascii="Aptos" w:hAnsi="Aptos"/>
                <w:b w:val="0"/>
                <w:sz w:val="17"/>
              </w:rPr>
              <w:t>Identify account, process and target.</w:t>
            </w:r>
          </w:p>
        </w:tc>
        <w:tc>
          <w:tcPr>
            <w:tcW w:type="dxa" w:w="3408"/>
            <w:vAlign w:val="center"/>
          </w:tcPr>
          <w:p>
            <w:r/>
            <w:r>
              <w:rPr>
                <w:rFonts w:ascii="Aptos" w:hAnsi="Aptos"/>
                <w:b w:val="0"/>
                <w:sz w:val="17"/>
              </w:rPr>
              <w:t>Confirm legitimacy; investigate unexplained credential use.</w:t>
            </w:r>
          </w:p>
        </w:tc>
      </w:tr>
      <w:tr>
        <w:tc>
          <w:tcPr>
            <w:tcW w:type="dxa" w:w="3408"/>
            <w:vAlign w:val="center"/>
          </w:tcPr>
          <w:p>
            <w:r/>
            <w:r>
              <w:rPr>
                <w:rFonts w:ascii="Aptos" w:hAnsi="Aptos"/>
                <w:b w:val="0"/>
                <w:sz w:val="17"/>
              </w:rPr>
              <w:t>4672 – Special privileges</w:t>
            </w:r>
          </w:p>
        </w:tc>
        <w:tc>
          <w:tcPr>
            <w:tcW w:type="dxa" w:w="3408"/>
            <w:vAlign w:val="center"/>
          </w:tcPr>
          <w:p>
            <w:r/>
            <w:r>
              <w:rPr>
                <w:rFonts w:ascii="Aptos" w:hAnsi="Aptos"/>
                <w:b w:val="0"/>
                <w:sz w:val="17"/>
              </w:rPr>
              <w:t>Verify privileged account and purpose.</w:t>
            </w:r>
          </w:p>
        </w:tc>
        <w:tc>
          <w:tcPr>
            <w:tcW w:type="dxa" w:w="3408"/>
            <w:vAlign w:val="center"/>
          </w:tcPr>
          <w:p>
            <w:r/>
            <w:r>
              <w:rPr>
                <w:rFonts w:ascii="Aptos" w:hAnsi="Aptos"/>
                <w:b w:val="0"/>
                <w:sz w:val="17"/>
              </w:rPr>
              <w:t>Correlate with 4624 and administrative actions.</w:t>
            </w:r>
          </w:p>
        </w:tc>
      </w:tr>
      <w:tr>
        <w:tc>
          <w:tcPr>
            <w:tcW w:type="dxa" w:w="3408"/>
            <w:vAlign w:val="center"/>
          </w:tcPr>
          <w:p>
            <w:r/>
            <w:r>
              <w:rPr>
                <w:rFonts w:ascii="Aptos" w:hAnsi="Aptos"/>
                <w:b w:val="0"/>
                <w:sz w:val="17"/>
              </w:rPr>
              <w:t>1102 – Log cleared</w:t>
            </w:r>
          </w:p>
        </w:tc>
        <w:tc>
          <w:tcPr>
            <w:tcW w:type="dxa" w:w="3408"/>
            <w:vAlign w:val="center"/>
          </w:tcPr>
          <w:p>
            <w:r/>
            <w:r>
              <w:rPr>
                <w:rFonts w:ascii="Aptos" w:hAnsi="Aptos"/>
                <w:b w:val="0"/>
                <w:sz w:val="17"/>
              </w:rPr>
              <w:t>Treat unexpected occurrence as high priority.</w:t>
            </w:r>
          </w:p>
        </w:tc>
        <w:tc>
          <w:tcPr>
            <w:tcW w:type="dxa" w:w="3408"/>
            <w:vAlign w:val="center"/>
          </w:tcPr>
          <w:p>
            <w:r/>
            <w:r>
              <w:rPr>
                <w:rFonts w:ascii="Aptos" w:hAnsi="Aptos"/>
                <w:b w:val="0"/>
                <w:sz w:val="17"/>
              </w:rPr>
              <w:t>Investigate possible log tampering and preserve other evidence.</w:t>
            </w:r>
          </w:p>
        </w:tc>
      </w:tr>
    </w:tbl>
    <w:p>
      <w:r>
        <w:br w:type="page"/>
      </w:r>
    </w:p>
    <w:p>
      <w:pPr>
        <w:pStyle w:val="Heading1"/>
      </w:pPr>
      <w:r>
        <w:t>8. Implementation and Testing Notes</w:t>
      </w:r>
    </w:p>
    <w:p>
      <w:pPr>
        <w:pStyle w:val="ListBullet"/>
        <w:spacing w:after="40"/>
      </w:pPr>
      <w:r>
        <w:t>Windows Event Viewer was used to access Windows Logs → Security.</w:t>
      </w:r>
    </w:p>
    <w:p>
      <w:pPr>
        <w:pStyle w:val="ListBullet"/>
        <w:spacing w:after="40"/>
      </w:pPr>
      <w:r>
        <w:t>The Event Viewer filter was used to isolate individual Event IDs.</w:t>
      </w:r>
    </w:p>
    <w:p>
      <w:pPr>
        <w:pStyle w:val="ListBullet"/>
        <w:spacing w:after="40"/>
      </w:pPr>
      <w:r>
        <w:t>The supplied screenshots demonstrate filtered results for 4625, 4624, 4648 and 4672.</w:t>
      </w:r>
    </w:p>
    <w:p>
      <w:pPr>
        <w:pStyle w:val="ListBullet"/>
        <w:spacing w:after="40"/>
      </w:pPr>
      <w:r>
        <w:t>Event 1102 is included as an additional baseline rule; the supplied screenshot shows 0 matching events, confirming no security-log clearing on this endpoint.</w:t>
      </w:r>
    </w:p>
    <w:p>
      <w:pPr>
        <w:pStyle w:val="ListBullet"/>
        <w:spacing w:after="40"/>
      </w:pPr>
      <w:r>
        <w:t>The captured events should be treated as lab evidence and reviewed in context; normal Windows activity can generate many security events.</w:t>
      </w:r>
    </w:p>
    <w:p>
      <w:pPr>
        <w:pStyle w:val="ListBullet"/>
        <w:spacing w:after="40"/>
      </w:pPr>
      <w:r>
        <w:t>No production or third-party system should be tested without explicit authorization.</w:t>
      </w:r>
    </w:p>
    <w:p>
      <w:pPr>
        <w:pStyle w:val="Heading1"/>
      </w:pPr>
      <w:r>
        <w:t>9. Evidence Summary</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rFonts w:ascii="Aptos" w:hAnsi="Aptos"/>
                <w:b/>
                <w:sz w:val="18"/>
              </w:rPr>
              <w:t>Evidence</w:t>
            </w:r>
          </w:p>
        </w:tc>
        <w:tc>
          <w:tcPr>
            <w:tcW w:type="dxa" w:w="3408"/>
            <w:vAlign w:val="center"/>
            <w:shd w:fill="D9EAF7"/>
          </w:tcPr>
          <w:p>
            <w:r/>
            <w:r>
              <w:rPr>
                <w:rFonts w:ascii="Aptos" w:hAnsi="Aptos"/>
                <w:b/>
                <w:sz w:val="18"/>
              </w:rPr>
              <w:t>Purpose</w:t>
            </w:r>
          </w:p>
        </w:tc>
        <w:tc>
          <w:tcPr>
            <w:tcW w:type="dxa" w:w="3408"/>
            <w:vAlign w:val="center"/>
            <w:shd w:fill="D9EAF7"/>
          </w:tcPr>
          <w:p>
            <w:r/>
            <w:r>
              <w:rPr>
                <w:rFonts w:ascii="Aptos" w:hAnsi="Aptos"/>
                <w:b/>
                <w:sz w:val="18"/>
              </w:rPr>
              <w:t>Status</w:t>
            </w:r>
          </w:p>
        </w:tc>
      </w:tr>
      <w:tr>
        <w:tc>
          <w:tcPr>
            <w:tcW w:type="dxa" w:w="3408"/>
            <w:vAlign w:val="center"/>
          </w:tcPr>
          <w:p>
            <w:r/>
            <w:r>
              <w:rPr>
                <w:rFonts w:ascii="Aptos" w:hAnsi="Aptos"/>
                <w:b w:val="0"/>
                <w:sz w:val="17"/>
              </w:rPr>
              <w:t>Event ID 4625 screenshot</w:t>
            </w:r>
          </w:p>
        </w:tc>
        <w:tc>
          <w:tcPr>
            <w:tcW w:type="dxa" w:w="3408"/>
            <w:vAlign w:val="center"/>
          </w:tcPr>
          <w:p>
            <w:r/>
            <w:r>
              <w:rPr>
                <w:rFonts w:ascii="Aptos" w:hAnsi="Aptos"/>
                <w:b w:val="0"/>
                <w:sz w:val="17"/>
              </w:rPr>
              <w:t>Failed logon monitoring</w:t>
            </w:r>
          </w:p>
        </w:tc>
        <w:tc>
          <w:tcPr>
            <w:tcW w:type="dxa" w:w="3408"/>
            <w:vAlign w:val="center"/>
          </w:tcPr>
          <w:p>
            <w:r/>
            <w:r>
              <w:rPr>
                <w:rFonts w:ascii="Aptos" w:hAnsi="Aptos"/>
                <w:b w:val="0"/>
                <w:sz w:val="17"/>
              </w:rPr>
              <w:t>Provided</w:t>
            </w:r>
          </w:p>
        </w:tc>
      </w:tr>
      <w:tr>
        <w:tc>
          <w:tcPr>
            <w:tcW w:type="dxa" w:w="3408"/>
            <w:vAlign w:val="center"/>
          </w:tcPr>
          <w:p>
            <w:r/>
            <w:r>
              <w:rPr>
                <w:rFonts w:ascii="Aptos" w:hAnsi="Aptos"/>
                <w:b w:val="0"/>
                <w:sz w:val="17"/>
              </w:rPr>
              <w:t>Event ID 4624 screenshot</w:t>
            </w:r>
          </w:p>
        </w:tc>
        <w:tc>
          <w:tcPr>
            <w:tcW w:type="dxa" w:w="3408"/>
            <w:vAlign w:val="center"/>
          </w:tcPr>
          <w:p>
            <w:r/>
            <w:r>
              <w:rPr>
                <w:rFonts w:ascii="Aptos" w:hAnsi="Aptos"/>
                <w:b w:val="0"/>
                <w:sz w:val="17"/>
              </w:rPr>
              <w:t>Successful logon monitoring</w:t>
            </w:r>
          </w:p>
        </w:tc>
        <w:tc>
          <w:tcPr>
            <w:tcW w:type="dxa" w:w="3408"/>
            <w:vAlign w:val="center"/>
          </w:tcPr>
          <w:p>
            <w:r/>
            <w:r>
              <w:rPr>
                <w:rFonts w:ascii="Aptos" w:hAnsi="Aptos"/>
                <w:b w:val="0"/>
                <w:sz w:val="17"/>
              </w:rPr>
              <w:t>Provided</w:t>
            </w:r>
          </w:p>
        </w:tc>
      </w:tr>
      <w:tr>
        <w:tc>
          <w:tcPr>
            <w:tcW w:type="dxa" w:w="3408"/>
            <w:vAlign w:val="center"/>
          </w:tcPr>
          <w:p>
            <w:r/>
            <w:r>
              <w:rPr>
                <w:rFonts w:ascii="Aptos" w:hAnsi="Aptos"/>
                <w:b w:val="0"/>
                <w:sz w:val="17"/>
              </w:rPr>
              <w:t>Event ID 4648 screenshot</w:t>
            </w:r>
          </w:p>
        </w:tc>
        <w:tc>
          <w:tcPr>
            <w:tcW w:type="dxa" w:w="3408"/>
            <w:vAlign w:val="center"/>
          </w:tcPr>
          <w:p>
            <w:r/>
            <w:r>
              <w:rPr>
                <w:rFonts w:ascii="Aptos" w:hAnsi="Aptos"/>
                <w:b w:val="0"/>
                <w:sz w:val="17"/>
              </w:rPr>
              <w:t>Explicit credential monitoring</w:t>
            </w:r>
          </w:p>
        </w:tc>
        <w:tc>
          <w:tcPr>
            <w:tcW w:type="dxa" w:w="3408"/>
            <w:vAlign w:val="center"/>
          </w:tcPr>
          <w:p>
            <w:r/>
            <w:r>
              <w:rPr>
                <w:rFonts w:ascii="Aptos" w:hAnsi="Aptos"/>
                <w:b w:val="0"/>
                <w:sz w:val="17"/>
              </w:rPr>
              <w:t>Provided</w:t>
            </w:r>
          </w:p>
        </w:tc>
      </w:tr>
      <w:tr>
        <w:tc>
          <w:tcPr>
            <w:tcW w:type="dxa" w:w="3408"/>
            <w:vAlign w:val="center"/>
          </w:tcPr>
          <w:p>
            <w:r/>
            <w:r>
              <w:rPr>
                <w:rFonts w:ascii="Aptos" w:hAnsi="Aptos"/>
                <w:b w:val="0"/>
                <w:sz w:val="17"/>
              </w:rPr>
              <w:t>Event ID 4672 screenshot</w:t>
            </w:r>
          </w:p>
        </w:tc>
        <w:tc>
          <w:tcPr>
            <w:tcW w:type="dxa" w:w="3408"/>
            <w:vAlign w:val="center"/>
          </w:tcPr>
          <w:p>
            <w:r/>
            <w:r>
              <w:rPr>
                <w:rFonts w:ascii="Aptos" w:hAnsi="Aptos"/>
                <w:b w:val="0"/>
                <w:sz w:val="17"/>
              </w:rPr>
              <w:t>Privileged logon monitoring</w:t>
            </w:r>
          </w:p>
        </w:tc>
        <w:tc>
          <w:tcPr>
            <w:tcW w:type="dxa" w:w="3408"/>
            <w:vAlign w:val="center"/>
          </w:tcPr>
          <w:p>
            <w:r/>
            <w:r>
              <w:rPr>
                <w:rFonts w:ascii="Aptos" w:hAnsi="Aptos"/>
                <w:b w:val="0"/>
                <w:sz w:val="17"/>
              </w:rPr>
              <w:t>Provided</w:t>
            </w:r>
          </w:p>
        </w:tc>
      </w:tr>
      <w:tr>
        <w:tc>
          <w:tcPr>
            <w:tcW w:type="dxa" w:w="3408"/>
            <w:vAlign w:val="center"/>
          </w:tcPr>
          <w:p>
            <w:r/>
            <w:r>
              <w:rPr>
                <w:rFonts w:ascii="Aptos" w:hAnsi="Aptos"/>
                <w:b w:val="0"/>
                <w:sz w:val="17"/>
              </w:rPr>
              <w:t>Event ID 1102 rule</w:t>
            </w:r>
          </w:p>
        </w:tc>
        <w:tc>
          <w:tcPr>
            <w:tcW w:type="dxa" w:w="3408"/>
            <w:vAlign w:val="center"/>
          </w:tcPr>
          <w:p>
            <w:r/>
            <w:r>
              <w:rPr>
                <w:rFonts w:ascii="Aptos" w:hAnsi="Aptos"/>
                <w:b w:val="0"/>
                <w:sz w:val="17"/>
              </w:rPr>
              <w:t>Security log tampering detection</w:t>
            </w:r>
          </w:p>
        </w:tc>
        <w:tc>
          <w:tcPr>
            <w:tcW w:type="dxa" w:w="3408"/>
            <w:vAlign w:val="center"/>
          </w:tcPr>
          <w:p>
            <w:r/>
            <w:r>
              <w:rPr>
                <w:rFonts w:ascii="Aptos" w:hAnsi="Aptos"/>
                <w:b w:val="0"/>
                <w:sz w:val="17"/>
              </w:rPr>
              <w:t>Provided (0 events — no tampering detected)</w:t>
            </w:r>
          </w:p>
        </w:tc>
      </w:tr>
    </w:tbl>
    <w:p>
      <w:pPr>
        <w:pStyle w:val="Heading1"/>
      </w:pPr>
      <w:r>
        <w:t>10. Conclusion</w:t>
      </w:r>
    </w:p>
    <w:p>
      <w:r>
        <w:t>This prototype establishes a practical Windows endpoint monitoring baseline for a real estate agency. It covers authentication failures and successes, explicit credential use, privileged logons and security-log tampering. The approach can later be extended with additional Event IDs, thresholds, centralized log collection and SIEM correlation rules.</w:t>
      </w:r>
    </w:p>
    <w:p>
      <w:pPr>
        <w:pStyle w:val="Heading1"/>
      </w:pPr>
      <w:r>
        <w:t>11. Suggested Screen-Recording Demonstration</w:t>
      </w:r>
    </w:p>
    <w:p>
      <w:r>
        <w:t>For the mandatory 5–10 minute video, demonstrate the Windows Event Viewer, show the Security log filters for the captured Event IDs, briefly explain what each event means, then open this report and explain the detection and response table in your own words.</w:t>
      </w:r>
    </w:p>
    <w:p>
      <w:pPr>
        <w:pStyle w:val="SmallNote"/>
      </w:pPr>
      <w:r>
        <w:t>Note: Event counts and timestamps in this report are transcribed from the screenshots supplied for this assignment. They represent what was visible on the test endpoint and should not be interpreted as confirmed security incidents.</w:t>
      </w:r>
    </w:p>
    <w:sectPr w:rsidR="00FC693F" w:rsidRPr="0006063C" w:rsidSect="00034616">
      <w:footerReference w:type="default" r:id="rId1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Endpoint Security Baseline Guide  |  Member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rPr>
      <w:rFonts w:ascii="Aptos" w:hAnsi="Aptos"/>
      <w:b/>
      <w:sz w:val="28"/>
    </w:r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