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7299" w14:textId="77777777" w:rsidR="00F1363A" w:rsidRDefault="00F1363A">
      <w:pPr>
        <w:pStyle w:val="Tytu"/>
        <w:keepNext w:val="0"/>
        <w:keepLines w:val="0"/>
        <w:spacing w:before="220" w:after="40"/>
        <w:rPr>
          <w:rFonts w:ascii="Arial" w:eastAsia="Arial" w:hAnsi="Arial" w:cs="Arial"/>
          <w:sz w:val="16"/>
          <w:szCs w:val="16"/>
          <w:shd w:val="clear" w:color="auto" w:fill="auto"/>
        </w:rPr>
      </w:pPr>
      <w:bookmarkStart w:id="0" w:name="_gjdgxs" w:colFirst="0" w:colLast="0"/>
      <w:bookmarkEnd w:id="0"/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1363A" w14:paraId="44540AF3" w14:textId="77777777">
        <w:trPr>
          <w:trHeight w:val="660"/>
          <w:jc w:val="center"/>
        </w:trPr>
        <w:tc>
          <w:tcPr>
            <w:tcW w:w="9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0E0D" w14:textId="77777777" w:rsidR="00F1363A" w:rsidRDefault="00205B69">
            <w:pPr>
              <w:pStyle w:val="Nagwek1"/>
              <w:rPr>
                <w:rFonts w:ascii="Arial" w:eastAsia="Arial" w:hAnsi="Arial" w:cs="Arial"/>
                <w:b w:val="0"/>
                <w:sz w:val="42"/>
                <w:szCs w:val="42"/>
                <w:shd w:val="clear" w:color="auto" w:fill="auto"/>
              </w:rPr>
            </w:pPr>
            <w:bookmarkStart w:id="1" w:name="kix.bvunrs9ulqdi" w:colFirst="0" w:colLast="0"/>
            <w:bookmarkStart w:id="2" w:name="_30j0zll" w:colFirst="0" w:colLast="0"/>
            <w:bookmarkEnd w:id="1"/>
            <w:bookmarkEnd w:id="2"/>
            <w:r>
              <w:rPr>
                <w:rFonts w:ascii="Arial" w:eastAsia="Arial" w:hAnsi="Arial" w:cs="Arial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sz w:val="24"/>
                <w:szCs w:val="24"/>
              </w:rPr>
              <w:t>Opis projektu</w:t>
            </w:r>
          </w:p>
        </w:tc>
      </w:tr>
      <w:tr w:rsidR="00F1363A" w14:paraId="18AF8B23" w14:textId="77777777">
        <w:trPr>
          <w:trHeight w:val="400"/>
          <w:jc w:val="center"/>
        </w:trPr>
        <w:tc>
          <w:tcPr>
            <w:tcW w:w="9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DA6D" w14:textId="77777777" w:rsidR="00F1363A" w:rsidRDefault="00205B69">
            <w:pPr>
              <w:spacing w:before="0" w:after="0"/>
              <w:rPr>
                <w:rFonts w:ascii="Arial" w:eastAsia="Arial" w:hAnsi="Arial" w:cs="Arial"/>
                <w:shd w:val="clear" w:color="auto" w:fill="auto"/>
              </w:rPr>
            </w:pPr>
            <w:r>
              <w:rPr>
                <w:rFonts w:ascii="Arial" w:eastAsia="Arial" w:hAnsi="Arial" w:cs="Arial"/>
                <w:shd w:val="clear" w:color="auto" w:fill="auto"/>
              </w:rPr>
              <w:t xml:space="preserve">INSTRUKCJA </w:t>
            </w:r>
          </w:p>
          <w:p w14:paraId="71AC72BE" w14:textId="77777777" w:rsidR="00F1363A" w:rsidRDefault="00F1363A">
            <w:pPr>
              <w:spacing w:before="0" w:after="0"/>
              <w:jc w:val="both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</w:p>
          <w:p w14:paraId="7FBAD97B" w14:textId="77777777" w:rsidR="00F1363A" w:rsidRDefault="00205B69">
            <w:pPr>
              <w:spacing w:before="0" w:after="0"/>
              <w:jc w:val="both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Opis projektu [4000 znaków]</w:t>
            </w:r>
          </w:p>
          <w:p w14:paraId="3E364AA1" w14:textId="77777777" w:rsidR="00F1363A" w:rsidRDefault="00205B69">
            <w:pPr>
              <w:spacing w:before="0" w:after="0"/>
              <w:jc w:val="both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…</w:t>
            </w:r>
          </w:p>
          <w:p w14:paraId="43D9E193" w14:textId="77777777" w:rsidR="00F1363A" w:rsidRDefault="00F1363A">
            <w:pPr>
              <w:spacing w:before="0" w:after="0"/>
              <w:jc w:val="both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</w:p>
        </w:tc>
      </w:tr>
      <w:tr w:rsidR="00F1363A" w14:paraId="6C1521D9" w14:textId="77777777">
        <w:trPr>
          <w:trHeight w:val="400"/>
          <w:jc w:val="center"/>
        </w:trPr>
        <w:tc>
          <w:tcPr>
            <w:tcW w:w="90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832D" w14:textId="77777777" w:rsidR="00F1363A" w:rsidRDefault="00205B69">
            <w:pPr>
              <w:spacing w:before="0"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KRYTERIA OCENY </w:t>
            </w:r>
          </w:p>
          <w:p w14:paraId="4DAA176F" w14:textId="77777777" w:rsidR="00F1363A" w:rsidRDefault="00F1363A">
            <w:pPr>
              <w:spacing w:before="0" w:after="0"/>
              <w:rPr>
                <w:rFonts w:ascii="Arial" w:eastAsia="Arial" w:hAnsi="Arial" w:cs="Arial"/>
                <w:shd w:val="clear" w:color="auto" w:fill="D9EAD3"/>
              </w:rPr>
            </w:pPr>
          </w:p>
          <w:p w14:paraId="1151DF1C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Opis projektu może pośrednio lub bezpośrednio wpływać na wszystkie kryteria, a w szczególności:</w:t>
            </w:r>
          </w:p>
          <w:p w14:paraId="0CE8EA39" w14:textId="77777777" w:rsidR="00F1363A" w:rsidRDefault="00205B69">
            <w:pPr>
              <w:spacing w:before="240" w:after="24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Kluczowe kryteria strategiczne (2.3), których duch powinien być widoczny w opisie:</w:t>
            </w:r>
          </w:p>
          <w:p w14:paraId="5E6E5742" w14:textId="77777777" w:rsidR="00F1363A" w:rsidRDefault="00205B69">
            <w:pPr>
              <w:numPr>
                <w:ilvl w:val="0"/>
                <w:numId w:val="2"/>
              </w:numPr>
              <w:spacing w:before="24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Profil projektu (2.3.1 / 1):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Opis powinien jasno komunikować, czy projekt koncentruje się na pracach B+R, ich wdrożeniu, czy budowie infrastruktury B+R, oraz podkreślać jego innowacyjny charakter i wkład w rozwój działalności B+R firmy.</w:t>
            </w:r>
          </w:p>
          <w:p w14:paraId="4A1674EA" w14:textId="77777777" w:rsidR="00F1363A" w:rsidRDefault="00205B6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Potrzeba realizacji projektu (2.3.1 / 2):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Należy zwięźle przedstawić problem lub potrzebę, na którą projekt odpowiada, uzasadniając jego znaczenie.</w:t>
            </w:r>
          </w:p>
          <w:p w14:paraId="5A900B19" w14:textId="77777777" w:rsidR="00F1363A" w:rsidRDefault="00205B6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Wkład w zakładane efekty (2.3.1 / 3):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Wskazanie głównych oczekiwanych rezultatów i ich powiązania ze wskaźnikami programu.</w:t>
            </w:r>
          </w:p>
          <w:p w14:paraId="6306B2F8" w14:textId="77777777" w:rsidR="00F1363A" w:rsidRDefault="00205B6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Regionalne Agendy Badawcze (2.3.3 / 2):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Zasygnalizowanie zgodności projektu z Inteligentnymi Specjalizacjami Pomorza (ISP) i wpisania się w Regionalne Agendy Badawcze (RAB).</w:t>
            </w:r>
          </w:p>
          <w:p w14:paraId="130CBBB9" w14:textId="77777777" w:rsidR="00F1363A" w:rsidRDefault="00205B69">
            <w:pPr>
              <w:numPr>
                <w:ilvl w:val="0"/>
                <w:numId w:val="2"/>
              </w:numPr>
              <w:spacing w:before="0" w:after="24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Kompleksowość projektu (2.3.2 / 1):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Ogólne przedstawienie zakresu i złożoności planowanych działań.</w:t>
            </w:r>
          </w:p>
          <w:p w14:paraId="6A8A63B3" w14:textId="77777777" w:rsidR="00F1363A" w:rsidRDefault="00205B69">
            <w:pPr>
              <w:spacing w:before="240" w:after="24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Elementy kryteriów merytorycznych - Wykonalność (2.1), które warto zasygnalizować:</w:t>
            </w:r>
          </w:p>
          <w:p w14:paraId="5A1FAC68" w14:textId="77777777" w:rsidR="00F1363A" w:rsidRDefault="00205B69">
            <w:pPr>
              <w:numPr>
                <w:ilvl w:val="0"/>
                <w:numId w:val="7"/>
              </w:numPr>
              <w:spacing w:before="24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Zakres rzeczowo-finansowy (2.1.1 / 1):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Krótkie przedstawienie głównych zadań i ogólnego celu projektu.</w:t>
            </w:r>
          </w:p>
          <w:p w14:paraId="0C25FE95" w14:textId="77777777" w:rsidR="00F1363A" w:rsidRDefault="00205B69">
            <w:pPr>
              <w:numPr>
                <w:ilvl w:val="0"/>
                <w:numId w:val="7"/>
              </w:numPr>
              <w:spacing w:before="0" w:after="24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Potencjał wnioskodawcy (2.1.1 / 3):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Ewentualne zwięzłe wspomnienie o kluczowych zasobach lub doświadczeniu istotnym dla powodzenia projektu.</w:t>
            </w:r>
          </w:p>
          <w:p w14:paraId="28A443B7" w14:textId="77777777" w:rsidR="00F1363A" w:rsidRDefault="00205B69">
            <w:pPr>
              <w:spacing w:before="240" w:after="24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Aspekty zgodności (kryteria formalne i merytoryczne):</w:t>
            </w:r>
          </w:p>
          <w:p w14:paraId="40C6960D" w14:textId="77777777" w:rsidR="00F1363A" w:rsidRDefault="00205B69">
            <w:pPr>
              <w:numPr>
                <w:ilvl w:val="0"/>
                <w:numId w:val="4"/>
              </w:numPr>
              <w:spacing w:before="24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Zgodność z celami i logiką wsparcia w Działaniu (1.2.1 / 2):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Całość opisu powinna potwierdzać, że projekt wpisuje się w ramy Działania 1.1.</w:t>
            </w:r>
          </w:p>
          <w:p w14:paraId="1D775102" w14:textId="77777777" w:rsidR="00F1363A" w:rsidRDefault="00205B69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Zgodność ze szczegółowymi uwarunkowaniami (ISP/Branże kluczowe) (1.2.2 / 1):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Potwierdzenie zgodności z ISP.</w:t>
            </w:r>
          </w:p>
          <w:p w14:paraId="056B7CDE" w14:textId="77777777" w:rsidR="00F1363A" w:rsidRDefault="00205B69">
            <w:pPr>
              <w:numPr>
                <w:ilvl w:val="0"/>
                <w:numId w:val="4"/>
              </w:numPr>
              <w:spacing w:before="0" w:after="24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Zasady horyzontalne (2.2):</w:t>
            </w: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 Jeśli projekt ma istotny pozytywny wpływ na te zasady (np. zrównoważony rozwój – DNSH, równość szans), warto to krótko zaznaczyć.</w:t>
            </w:r>
          </w:p>
          <w:p w14:paraId="07A1FA8A" w14:textId="77777777" w:rsidR="00F1363A" w:rsidRDefault="00F1363A">
            <w:pPr>
              <w:spacing w:before="0" w:after="0"/>
              <w:rPr>
                <w:rFonts w:ascii="Arial" w:eastAsia="Arial" w:hAnsi="Arial" w:cs="Arial"/>
                <w:shd w:val="clear" w:color="auto" w:fill="D9EAD3"/>
              </w:rPr>
            </w:pPr>
          </w:p>
        </w:tc>
      </w:tr>
      <w:tr w:rsidR="00F1363A" w14:paraId="7C295727" w14:textId="77777777">
        <w:trPr>
          <w:trHeight w:val="400"/>
          <w:jc w:val="center"/>
        </w:trPr>
        <w:tc>
          <w:tcPr>
            <w:tcW w:w="90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7800" w14:textId="77777777" w:rsidR="00F1363A" w:rsidRDefault="00205B69">
            <w:pPr>
              <w:spacing w:before="0" w:after="0"/>
              <w:rPr>
                <w:rFonts w:ascii="Arial" w:eastAsia="Arial" w:hAnsi="Arial" w:cs="Arial"/>
                <w:shd w:val="clear" w:color="auto" w:fill="auto"/>
              </w:rPr>
            </w:pPr>
            <w:r>
              <w:rPr>
                <w:rFonts w:ascii="Arial" w:eastAsia="Arial" w:hAnsi="Arial" w:cs="Arial"/>
                <w:shd w:val="clear" w:color="auto" w:fill="auto"/>
              </w:rPr>
              <w:t>WSKAZÓWKI GRANTERY</w:t>
            </w:r>
          </w:p>
          <w:p w14:paraId="4FC83658" w14:textId="77777777" w:rsidR="00F1363A" w:rsidRDefault="00F1363A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</w:p>
          <w:p w14:paraId="4ED9BD77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Pierwsze dobre wrażenie</w:t>
            </w:r>
          </w:p>
          <w:p w14:paraId="12465381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“Opis projektu” jest prawdopodobnie pierwszą treścią mówiącą o projekcie, z którą zapozna się ekspert. Jest bardzo ważne, żeby ta treść była interesująca i przekonująca. Tekst powinien być lekki, łatwy w czytaniu, bardzo zrozumiały nawet dla osoby, która nie jest związana z branżą.</w:t>
            </w:r>
          </w:p>
          <w:p w14:paraId="2EFE241A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66BBC1AD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Początek wg. schematu problem-rozwiązanie</w:t>
            </w:r>
          </w:p>
          <w:p w14:paraId="4C01E795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lastRenderedPageBreak/>
              <w:t xml:space="preserve">Ekspert powinien mieć przekonanie, że przedsięwzięcie jest potrzebne, ponieważ rozwiązuje ważny problem. W opisie projektu trzeba ten problem scharakteryzować - nawet lekko przesadzając i mocno uwypuklając, jak duży jest to problem. Problem powinien być scharakteryzowany jako wielki, kosztowny i dotykający dużej grupy ludzi / firm / organizacji. </w:t>
            </w:r>
          </w:p>
          <w:p w14:paraId="001E21E3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Tutaj w szczególności warto się powołać na ogólnodostępne dane i raporty a także listy intencyjne i listy poparcia, które uwiarygodniają, że jest to rzeczywiście poważny problem i występuje niezaspokojona potrzeba.</w:t>
            </w:r>
          </w:p>
          <w:p w14:paraId="1F06C461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61A87895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Następnie opisać, w jaki sposób projekt jest odpowiedzią na ten problem - tutaj (w granicach rozsądku) mocno podkreślamy zalety rozwiązania.</w:t>
            </w:r>
          </w:p>
          <w:p w14:paraId="1726CEF6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46DE7D3F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Wzmianka o potencjale </w:t>
            </w:r>
          </w:p>
          <w:p w14:paraId="6077B778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Należy wykazać, że wnioskodawca (wraz z ewentualnymi partnerami) posiada bardzo dobre, doświadczenie, kompetencje i zasoby do realizacji projektu. To jest dobry moment na przedstawienie się i wykazanie mocnych stron wnioskodawcy.</w:t>
            </w:r>
          </w:p>
          <w:p w14:paraId="6BC671C6" w14:textId="77777777" w:rsidR="00F1363A" w:rsidRDefault="00F1363A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</w:p>
          <w:p w14:paraId="3707AA72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Przemyślany sposób realizacji projektu</w:t>
            </w:r>
          </w:p>
          <w:p w14:paraId="3C22B872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Należy wykazać, że sposób realizacji projektu został dobrze przemyślany i prowadzi do osiągnięcia sukcesu przy jednoczesnym zachowaniu balansu między poziomem poniesionych nakładów a uzyskanym efektem.</w:t>
            </w:r>
          </w:p>
          <w:p w14:paraId="1B0ACFDF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08D56B6B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Identyfikacja słabych stron i wyprzedzenie trudnych pytań</w:t>
            </w:r>
          </w:p>
          <w:p w14:paraId="7E868D55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 xml:space="preserve">Jeśli projekt ma słabe strony, które są ewidentnie widoczne i na pewno zostaną zauważone przez ekspertów, to należy o nich wspomnieć i wyjaśnić, dlaczego mimo tych słabych stron projekt nadal jest mocny i wartościowy. Na przykład jeśli firma wnioskodawcy ma krótką historię, należy napisać, że kadra przedsiębiorstwa składa się z osób o dużym, wieloletnim doświadczeniu. </w:t>
            </w:r>
          </w:p>
          <w:p w14:paraId="0AE8EF31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252CE147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Zgodność projektu z zasadami konkursu</w:t>
            </w:r>
          </w:p>
          <w:p w14:paraId="45CB164B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Należy podkreślić, że projekt bardzo dobrze wpisuje się w zasady konkursu, w szczególności krótko odnosząc się do poszczególnych kryteriów oceny.</w:t>
            </w:r>
          </w:p>
          <w:p w14:paraId="1B230940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2A269319" w14:textId="77777777" w:rsidR="00F1363A" w:rsidRDefault="00205B69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  <w:t>RAB</w:t>
            </w:r>
          </w:p>
          <w:p w14:paraId="24E5FE6D" w14:textId="77777777" w:rsidR="00F1363A" w:rsidRDefault="00205B69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  <w:t>Jeśli projekt znajduje się na liście wybranych w RAB należy umieścić w treści oświadczenie, że projekt jest w pełni zgodny z aplikacją do konkursu RAB, w tym z fiszką opisującą projekt.</w:t>
            </w:r>
          </w:p>
          <w:p w14:paraId="265E54FF" w14:textId="77777777" w:rsidR="00F1363A" w:rsidRDefault="00F1363A">
            <w:pPr>
              <w:spacing w:before="0" w:after="0"/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auto"/>
              </w:rPr>
            </w:pPr>
          </w:p>
          <w:p w14:paraId="0BEF735C" w14:textId="77777777" w:rsidR="00F1363A" w:rsidRDefault="00F1363A">
            <w:pPr>
              <w:spacing w:before="0" w:after="0"/>
              <w:rPr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</w:p>
        </w:tc>
      </w:tr>
    </w:tbl>
    <w:p w14:paraId="59015EFD" w14:textId="77777777" w:rsidR="00F1363A" w:rsidRDefault="00F1363A">
      <w:pPr>
        <w:spacing w:before="0" w:after="0"/>
        <w:rPr>
          <w:rFonts w:ascii="Arial" w:eastAsia="Arial" w:hAnsi="Arial" w:cs="Arial"/>
          <w:b w:val="0"/>
          <w:sz w:val="22"/>
          <w:szCs w:val="22"/>
          <w:shd w:val="clear" w:color="auto" w:fill="auto"/>
        </w:rPr>
      </w:pPr>
    </w:p>
    <w:p w14:paraId="24A5F870" w14:textId="77777777" w:rsidR="00F1363A" w:rsidRDefault="00F1363A"/>
    <w:p w14:paraId="0E38A314" w14:textId="77777777" w:rsidR="00F1363A" w:rsidRDefault="00205B69">
      <w:pPr>
        <w:pStyle w:val="Nagwek3"/>
        <w:spacing w:before="160" w:after="0" w:line="240" w:lineRule="auto"/>
        <w:rPr>
          <w:i/>
          <w:color w:val="000000"/>
          <w:sz w:val="24"/>
          <w:szCs w:val="24"/>
        </w:rPr>
      </w:pPr>
      <w:bookmarkStart w:id="3" w:name="_a8z1ojx8udry" w:colFirst="0" w:colLast="0"/>
      <w:bookmarkEnd w:id="3"/>
      <w:r>
        <w:rPr>
          <w:b/>
          <w:color w:val="000000"/>
        </w:rPr>
        <w:t xml:space="preserve">TREŚĆ DO WNIOSKU </w:t>
      </w:r>
      <w:r>
        <w:rPr>
          <w:i/>
          <w:color w:val="000000"/>
          <w:sz w:val="24"/>
          <w:szCs w:val="24"/>
        </w:rPr>
        <w:t>(UZUPEŁNIA GRANTERA)</w:t>
      </w:r>
    </w:p>
    <w:p w14:paraId="2DD4E732" w14:textId="77777777" w:rsidR="00F1363A" w:rsidRDefault="00F1363A"/>
    <w:p w14:paraId="5BB63417" w14:textId="77777777" w:rsidR="00F1363A" w:rsidRDefault="00F1363A">
      <w:pPr>
        <w:spacing w:line="240" w:lineRule="auto"/>
      </w:pPr>
    </w:p>
    <w:p w14:paraId="77F948C5" w14:textId="77777777" w:rsidR="00F1363A" w:rsidRDefault="00F1363A">
      <w:pPr>
        <w:spacing w:line="240" w:lineRule="auto"/>
      </w:pP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363A" w14:paraId="3A95FA6B" w14:textId="77777777">
        <w:trPr>
          <w:trHeight w:val="485"/>
        </w:trPr>
        <w:tc>
          <w:tcPr>
            <w:tcW w:w="9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956B" w14:textId="77777777" w:rsidR="00F1363A" w:rsidRDefault="00205B69">
            <w:pPr>
              <w:spacing w:line="240" w:lineRule="auto"/>
            </w:pPr>
            <w:r>
              <w:t>Opis projektu [4000 znaków]</w:t>
            </w:r>
          </w:p>
        </w:tc>
      </w:tr>
      <w:tr w:rsidR="00F1363A" w14:paraId="579A9BC3" w14:textId="77777777">
        <w:trPr>
          <w:trHeight w:val="485"/>
        </w:trPr>
        <w:tc>
          <w:tcPr>
            <w:tcW w:w="9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BED4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lastRenderedPageBreak/>
              <w:t xml:space="preserve">W warunkach dynamicznie rozwijającej się gospodarki morskiej i intensywnego wykorzystania infrastruktury portowej, kluczowym wyzwaniem staje się zapewnienie wysokiego poziomu bezpieczeństwa i efektywności operacyjnej. Istniejące rozwiązania oznakowania, szczególnie w trudnych warunkach środowiskowych, często okazują się niewystarczające, co prowadzi do zwiększonego ryzyka wypadków i przestojów. Problem ten, dotykający zarówno porty, jak i infrastrukturę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offshore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>, generuje znaczące koszty ekonomiczne i społeczne, wynikające z opóźnień w transporcie, uszkodzeń sprzętu oraz potencjalnych zagrożeń dla zdrowia i życia pracowników. W związku z powyższym istnieje pilna potrzeba opracowania innowacyjnych rozwiązań, które zapewnią skuteczne i trwałe oznakowanie w ekstremalnych warunkach środowiskowych.</w:t>
            </w:r>
          </w:p>
          <w:p w14:paraId="7F098A54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Celem projektu jest opracowanie innowacyjnych farb luminescencyjnych o podwyższonej intensywności oraz długotrwałości emisji światła, dedykowanych do zastosowań w warunkach środowiska morskiego i przybrzeżnego (porty, infrastruktura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offshore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>). Nowo opracowane powłoki luminescencyjne mają na celu istotne zwiększenie poziomu bezpieczeństwa, widoczności oraz efektywności pracy w infrastrukturze transportowej i logistycznej funkcjonującej w warunkach podwyższonego ryzyka i trudnych warunków środowiskowych. Projekt jest zgodny z celami Działania 1.1. Badania i innowacje w przedsiębiorstwach w ramach programu regionalnego Fundusze Europejskie dla Pomorza 2021-2027, wspierającego działalność badawczo-rozwojową przedsiębiorstw.</w:t>
            </w:r>
          </w:p>
          <w:p w14:paraId="2C0CA503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Zespół IQ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Lumitech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 składa się z wysokiej klasy specjalistów z zakresu chemii, fizyki materiałów oraz inżynierii procesowej, co gwarantuje interdyscyplinarne podejście i wysoki poziom innowacyjności. Firma dysponuje zapleczem laboratoryjnym, umożliwiającym realizację zaawansowanych prac badawczo-rozwojowych oraz po zakończeniu projektu - wdrożenie innowacyjnych rozwiązań do produkcji.</w:t>
            </w:r>
          </w:p>
          <w:p w14:paraId="7C233E86" w14:textId="77777777" w:rsidR="00F1363A" w:rsidRDefault="00205B69">
            <w:pPr>
              <w:spacing w:before="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Główne założenia projektu:</w:t>
            </w:r>
          </w:p>
          <w:p w14:paraId="6F22A418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a) wykorzystanie luminoforu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SrAl₂O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>₄: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Eu,Dy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>, o wysokiej intensywności luminescencji oraz długim czasie poświaty (fosforescencji);</w:t>
            </w:r>
          </w:p>
          <w:p w14:paraId="1EFE3205" w14:textId="77777777" w:rsidR="00F1363A" w:rsidRDefault="00205B69">
            <w:pPr>
              <w:spacing w:before="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b) rozwiązanie problemów technologicznych związanych z implementacją tego luminoforu w formie zawiesiny w farbie, takich jak:</w:t>
            </w:r>
          </w:p>
          <w:p w14:paraId="18D1A2B1" w14:textId="77777777" w:rsidR="00F1363A" w:rsidRDefault="00205B69">
            <w:pPr>
              <w:numPr>
                <w:ilvl w:val="0"/>
                <w:numId w:val="1"/>
              </w:numPr>
              <w:spacing w:before="240" w:after="0" w:line="240" w:lineRule="auto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skrócona oraz obniżona luminescencja w warunkach zmiennych temperatur, podwyższonej wilgotności oraz obecności czynników korozyjnych, w szczególności jonów chlorkowych,</w:t>
            </w:r>
          </w:p>
          <w:p w14:paraId="3D5B0E9B" w14:textId="77777777" w:rsidR="00F1363A" w:rsidRDefault="00205B69">
            <w:pPr>
              <w:numPr>
                <w:ilvl w:val="0"/>
                <w:numId w:val="1"/>
              </w:numPr>
              <w:spacing w:before="0" w:after="0" w:line="240" w:lineRule="auto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opadanie cząstek luminoforu w matrycy farby, prowadzące do nierównomiernego efektu luminescencji oraz utrudnień aplikacyjnych,</w:t>
            </w:r>
          </w:p>
          <w:p w14:paraId="694C33E3" w14:textId="77777777" w:rsidR="00F1363A" w:rsidRDefault="00205B69">
            <w:pPr>
              <w:numPr>
                <w:ilvl w:val="0"/>
                <w:numId w:val="1"/>
              </w:numPr>
              <w:spacing w:before="0" w:after="0" w:line="240" w:lineRule="auto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trudności w uzyskaniu optymalnych właściwości reologicznych oraz trwałości powłoki, zwłaszcza w wymagającym środowisku portowym i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offshore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, </w:t>
            </w:r>
          </w:p>
          <w:p w14:paraId="2B6F74AA" w14:textId="77777777" w:rsidR="00F1363A" w:rsidRDefault="00205B69">
            <w:pPr>
              <w:numPr>
                <w:ilvl w:val="0"/>
                <w:numId w:val="1"/>
              </w:numPr>
              <w:spacing w:before="0" w:after="240" w:line="240" w:lineRule="auto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potrzeba zapewnienia wysokiej adhezji i długotrwałej ochrony w warunkach oddziaływania aerozolu solnego, promieniowania UV oraz ekstremalnych wahań temperatur;</w:t>
            </w:r>
          </w:p>
          <w:p w14:paraId="6DDB787E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>c) poprawa bezpieczeństwa morskiego oraz logistyki portowej poprzez efektywne i trwałe oznakowanie ciągów komunikacyjnych oraz stref o znaczeniu krytycznym (np. obszarów składowania materiałów niebezpiecznych), co przyczyni się do zwiększenia widoczności w warunkach ograniczonego oświetlenia oraz podczas sytuacji awaryjnych (np. w nocy, w warunkach gęstej mgły);</w:t>
            </w:r>
          </w:p>
          <w:p w14:paraId="17AA78B4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lastRenderedPageBreak/>
              <w:t xml:space="preserve">Projekt wpisuje się w założenia ISP 1, w szczególności obszaru priorytetowego nr 5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ppkt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 c), g) i h), dotyczącego technologii i systemów zwiększających bezpieczeństwo portów i infrastruktury logistycznej, będąc także odpowiedzią na wyzwania wskazane w RAB, zwłaszcza w ramach obszarów tematycznych „Smart and Green Sea Technologies” oraz „Technologie </w:t>
            </w:r>
            <w:proofErr w:type="spellStart"/>
            <w:r>
              <w:rPr>
                <w:rFonts w:ascii="Arial" w:eastAsia="Arial" w:hAnsi="Arial" w:cs="Arial"/>
                <w:b w:val="0"/>
                <w:shd w:val="clear" w:color="auto" w:fill="auto"/>
              </w:rPr>
              <w:t>offshore</w:t>
            </w:r>
            <w:proofErr w:type="spellEnd"/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 i portowo-logistyczne” poprzez wsparcie rozwiązań zwiększających bezpieczeństwo infrastruktury morskiej, ograniczanie negatywnego wpływu na środowisko oraz wzmacnianie odporności łańcuchów dostaw dzięki innowacyjnym materiałom.</w:t>
            </w:r>
          </w:p>
          <w:p w14:paraId="01E55FD8" w14:textId="77777777" w:rsidR="00F1363A" w:rsidRDefault="00205B69">
            <w:pPr>
              <w:spacing w:before="240" w:after="240" w:line="240" w:lineRule="auto"/>
              <w:jc w:val="both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shd w:val="clear" w:color="auto" w:fill="auto"/>
              </w:rPr>
              <w:t xml:space="preserve">Realizacja zaplanowanych zadań projektowych umożliwi wprowadzenie na rynek nowej generacji farb luminescencyjnych o wydłużonym czasie fosforescencji, wysokiej odporności na czynniki atmosferyczne oraz zoptymalizowanych właściwościach aplikacyjnych. </w:t>
            </w:r>
          </w:p>
        </w:tc>
      </w:tr>
    </w:tbl>
    <w:p w14:paraId="61566DD1" w14:textId="77777777" w:rsidR="00F1363A" w:rsidRDefault="00F1363A">
      <w:pPr>
        <w:spacing w:line="240" w:lineRule="auto"/>
      </w:pPr>
    </w:p>
    <w:sectPr w:rsidR="00F1363A">
      <w:pgSz w:w="11909" w:h="16834"/>
      <w:pgMar w:top="737" w:right="737" w:bottom="737" w:left="73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24CF"/>
    <w:multiLevelType w:val="multilevel"/>
    <w:tmpl w:val="957E9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DB3E06"/>
    <w:multiLevelType w:val="multilevel"/>
    <w:tmpl w:val="6506E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F1B35"/>
    <w:multiLevelType w:val="multilevel"/>
    <w:tmpl w:val="E3943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14512"/>
    <w:multiLevelType w:val="multilevel"/>
    <w:tmpl w:val="EAB6F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C40E23"/>
    <w:multiLevelType w:val="multilevel"/>
    <w:tmpl w:val="F146A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970FB5"/>
    <w:multiLevelType w:val="multilevel"/>
    <w:tmpl w:val="A3406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0E2703"/>
    <w:multiLevelType w:val="multilevel"/>
    <w:tmpl w:val="91A62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4319C6"/>
    <w:multiLevelType w:val="multilevel"/>
    <w:tmpl w:val="FB0E0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2C0A86"/>
    <w:multiLevelType w:val="multilevel"/>
    <w:tmpl w:val="F57A0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0016348">
    <w:abstractNumId w:val="3"/>
  </w:num>
  <w:num w:numId="2" w16cid:durableId="125507664">
    <w:abstractNumId w:val="2"/>
  </w:num>
  <w:num w:numId="3" w16cid:durableId="1561935831">
    <w:abstractNumId w:val="8"/>
  </w:num>
  <w:num w:numId="4" w16cid:durableId="1675916734">
    <w:abstractNumId w:val="0"/>
  </w:num>
  <w:num w:numId="5" w16cid:durableId="1994067547">
    <w:abstractNumId w:val="4"/>
  </w:num>
  <w:num w:numId="6" w16cid:durableId="1947033866">
    <w:abstractNumId w:val="7"/>
  </w:num>
  <w:num w:numId="7" w16cid:durableId="991985536">
    <w:abstractNumId w:val="6"/>
  </w:num>
  <w:num w:numId="8" w16cid:durableId="2019307593">
    <w:abstractNumId w:val="5"/>
  </w:num>
  <w:num w:numId="9" w16cid:durableId="92388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E_Links" w:val="{84D881B4-C22A-4C79-937B-31D330428B91}"/>
  </w:docVars>
  <w:rsids>
    <w:rsidRoot w:val="00F1363A"/>
    <w:rsid w:val="00205B69"/>
    <w:rsid w:val="00B06CE4"/>
    <w:rsid w:val="00F1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B02FE"/>
  <w15:docId w15:val="{76B7B9D7-9503-4F8F-8ED8-4D29FC45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b/>
        <w:sz w:val="24"/>
        <w:szCs w:val="24"/>
        <w:shd w:val="clear" w:color="auto" w:fill="D9D9D9"/>
        <w:lang w:val="pl" w:eastAsia="pl-PL" w:bidi="ar-SA"/>
      </w:rPr>
    </w:rPrDefault>
    <w:pPrDefault>
      <w:pPr>
        <w:spacing w:before="40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/>
      <w:outlineLvl w:val="1"/>
    </w:pPr>
    <w:rPr>
      <w:b w:val="0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  <w:shd w:val="clear" w:color="auto" w:fill="auto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84D881B4-C22A-4C79-937B-31D330428B9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Zapotoczny</cp:lastModifiedBy>
  <cp:revision>2</cp:revision>
  <dcterms:created xsi:type="dcterms:W3CDTF">2025-05-21T19:45:00Z</dcterms:created>
  <dcterms:modified xsi:type="dcterms:W3CDTF">2025-05-21T19:45:00Z</dcterms:modified>
</cp:coreProperties>
</file>