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FA17" w14:textId="77777777" w:rsidR="00BB6FDA" w:rsidRDefault="00BD2AFB">
      <w:pPr>
        <w:pStyle w:val="a4"/>
      </w:pPr>
      <w:r>
        <w:t>Отчет по лабораторной работе №3</w:t>
      </w:r>
    </w:p>
    <w:p w14:paraId="550A10EE" w14:textId="77777777" w:rsidR="00BB6FDA" w:rsidRDefault="00BD2AFB">
      <w:pPr>
        <w:pStyle w:val="a5"/>
      </w:pPr>
      <w:r>
        <w:t>Модель боевых действий - вариант 37</w:t>
      </w:r>
    </w:p>
    <w:p w14:paraId="7E386CB9" w14:textId="23EADC86" w:rsidR="00BB6FDA" w:rsidRDefault="00CD2B56">
      <w:pPr>
        <w:pStyle w:val="Author"/>
      </w:pPr>
      <w:r>
        <w:t>Кан</w:t>
      </w:r>
      <w:r w:rsidR="00BD2AFB">
        <w:t xml:space="preserve"> </w:t>
      </w:r>
      <w:proofErr w:type="spellStart"/>
      <w:r>
        <w:t>Ир-сен</w:t>
      </w:r>
      <w:proofErr w:type="spellEnd"/>
      <w:r w:rsidR="00BD2AFB">
        <w:t xml:space="preserve"> НПИбд-01-19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8143829"/>
        <w:docPartObj>
          <w:docPartGallery w:val="Table of Contents"/>
          <w:docPartUnique/>
        </w:docPartObj>
      </w:sdtPr>
      <w:sdtEndPr/>
      <w:sdtContent>
        <w:p w14:paraId="55AFF57C" w14:textId="77777777" w:rsidR="00BB6FDA" w:rsidRDefault="00BD2AFB">
          <w:pPr>
            <w:pStyle w:val="ae"/>
          </w:pPr>
          <w:r>
            <w:t>Содержание</w:t>
          </w:r>
        </w:p>
        <w:p w14:paraId="5A696EB0" w14:textId="77777777" w:rsidR="00CD2B56" w:rsidRDefault="00BD2AF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96072" w:history="1">
            <w:r w:rsidR="00CD2B56" w:rsidRPr="00EA40FF">
              <w:rPr>
                <w:rStyle w:val="ad"/>
                <w:noProof/>
              </w:rPr>
              <w:t>1</w:t>
            </w:r>
            <w:r w:rsidR="00CD2B56">
              <w:rPr>
                <w:noProof/>
              </w:rPr>
              <w:tab/>
            </w:r>
            <w:r w:rsidR="00CD2B56" w:rsidRPr="00EA40FF">
              <w:rPr>
                <w:rStyle w:val="ad"/>
                <w:noProof/>
              </w:rPr>
              <w:t>Цель работы</w:t>
            </w:r>
            <w:r w:rsidR="00CD2B56">
              <w:rPr>
                <w:noProof/>
                <w:webHidden/>
              </w:rPr>
              <w:tab/>
            </w:r>
            <w:r w:rsidR="00CD2B56">
              <w:rPr>
                <w:noProof/>
                <w:webHidden/>
              </w:rPr>
              <w:fldChar w:fldCharType="begin"/>
            </w:r>
            <w:r w:rsidR="00CD2B56">
              <w:rPr>
                <w:noProof/>
                <w:webHidden/>
              </w:rPr>
              <w:instrText xml:space="preserve"> PAGEREF _Toc96796072 \h </w:instrText>
            </w:r>
            <w:r w:rsidR="00CD2B56">
              <w:rPr>
                <w:noProof/>
                <w:webHidden/>
              </w:rPr>
            </w:r>
            <w:r w:rsidR="00CD2B56">
              <w:rPr>
                <w:noProof/>
                <w:webHidden/>
              </w:rPr>
              <w:fldChar w:fldCharType="separate"/>
            </w:r>
            <w:r w:rsidR="00CD2B56">
              <w:rPr>
                <w:noProof/>
                <w:webHidden/>
              </w:rPr>
              <w:t>1</w:t>
            </w:r>
            <w:r w:rsidR="00CD2B56">
              <w:rPr>
                <w:noProof/>
                <w:webHidden/>
              </w:rPr>
              <w:fldChar w:fldCharType="end"/>
            </w:r>
          </w:hyperlink>
        </w:p>
        <w:p w14:paraId="19C82B35" w14:textId="77777777" w:rsidR="00CD2B56" w:rsidRDefault="00CD2B5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96073" w:history="1">
            <w:r w:rsidRPr="00EA40F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5EDB" w14:textId="77777777" w:rsidR="00CD2B56" w:rsidRDefault="00CD2B5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96074" w:history="1">
            <w:r w:rsidRPr="00EA40F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BFCB" w14:textId="77777777" w:rsidR="00CD2B56" w:rsidRDefault="00CD2B5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796075" w:history="1">
            <w:r w:rsidRPr="00EA40F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861F" w14:textId="77777777" w:rsidR="00CD2B56" w:rsidRDefault="00CD2B5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796076" w:history="1">
            <w:r w:rsidRPr="00EA40FF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0FA8" w14:textId="77777777" w:rsidR="00CD2B56" w:rsidRDefault="00CD2B5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796077" w:history="1">
            <w:r w:rsidRPr="00EA40FF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62F0" w14:textId="77777777" w:rsidR="00CD2B56" w:rsidRDefault="00CD2B5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96078" w:history="1">
            <w:r w:rsidRPr="00EA40F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A40F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9941" w14:textId="77777777" w:rsidR="00CD2B56" w:rsidRDefault="00CD2B5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96079" w:history="1">
            <w:r w:rsidRPr="00EA40F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4D6C" w14:textId="77777777" w:rsidR="00BB6FDA" w:rsidRDefault="00BD2AFB">
          <w:r>
            <w:fldChar w:fldCharType="end"/>
          </w:r>
        </w:p>
      </w:sdtContent>
    </w:sdt>
    <w:p w14:paraId="744CF6E8" w14:textId="77777777" w:rsidR="00BB6FDA" w:rsidRDefault="00BD2AFB">
      <w:pPr>
        <w:pStyle w:val="1"/>
      </w:pPr>
      <w:bookmarkStart w:id="0" w:name="цель-работы"/>
      <w:bookmarkStart w:id="1" w:name="_Toc96796072"/>
      <w:r>
        <w:rPr>
          <w:rStyle w:val="SectionNumber"/>
        </w:rPr>
        <w:t>1</w:t>
      </w:r>
      <w:r>
        <w:tab/>
        <w:t>Цель работы</w:t>
      </w:r>
      <w:bookmarkEnd w:id="1"/>
    </w:p>
    <w:p w14:paraId="47A917D8" w14:textId="77777777" w:rsidR="00BB6FDA" w:rsidRDefault="00BD2AFB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</w:t>
      </w:r>
      <w:r>
        <w:t>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3D049329" w14:textId="77777777" w:rsidR="00BB6FDA" w:rsidRDefault="00BD2AFB">
      <w:pPr>
        <w:pStyle w:val="1"/>
      </w:pPr>
      <w:bookmarkStart w:id="2" w:name="задание"/>
      <w:bookmarkStart w:id="3" w:name="_Toc9679607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38E4FA0" w14:textId="77777777" w:rsidR="00BB6FDA" w:rsidRDefault="00BD2AFB">
      <w:pPr>
        <w:pStyle w:val="Compact"/>
        <w:numPr>
          <w:ilvl w:val="0"/>
          <w:numId w:val="2"/>
        </w:numPr>
      </w:pPr>
      <w:r>
        <w:t>Изучить три случае модели Ланчестера</w:t>
      </w:r>
    </w:p>
    <w:p w14:paraId="3591B51F" w14:textId="77777777" w:rsidR="00BB6FDA" w:rsidRDefault="00BD2AFB">
      <w:pPr>
        <w:pStyle w:val="Compact"/>
        <w:numPr>
          <w:ilvl w:val="0"/>
          <w:numId w:val="2"/>
        </w:numPr>
      </w:pPr>
      <w:r>
        <w:t>Построить графики изменения чис</w:t>
      </w:r>
      <w:r>
        <w:t>ленности войск</w:t>
      </w:r>
    </w:p>
    <w:p w14:paraId="31DE33D0" w14:textId="77777777" w:rsidR="00BB6FDA" w:rsidRDefault="00BD2AFB">
      <w:pPr>
        <w:pStyle w:val="Compact"/>
        <w:numPr>
          <w:ilvl w:val="0"/>
          <w:numId w:val="2"/>
        </w:numPr>
      </w:pPr>
      <w:r>
        <w:t>Определить победившую сторону</w:t>
      </w:r>
    </w:p>
    <w:p w14:paraId="34768C54" w14:textId="77777777" w:rsidR="00BB6FDA" w:rsidRDefault="00BD2AFB">
      <w:pPr>
        <w:pStyle w:val="1"/>
      </w:pPr>
      <w:bookmarkStart w:id="4" w:name="выполнение-лабораторной-работы"/>
      <w:bookmarkStart w:id="5" w:name="_Toc9679607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2F23D38" w14:textId="77777777" w:rsidR="00BB6FDA" w:rsidRDefault="00BD2AFB">
      <w:pPr>
        <w:pStyle w:val="2"/>
      </w:pPr>
      <w:bookmarkStart w:id="6" w:name="теоретические-сведения"/>
      <w:bookmarkStart w:id="7" w:name="_Toc96796075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62236ADA" w14:textId="77777777" w:rsidR="00BB6FDA" w:rsidRDefault="00BD2AFB">
      <w:pPr>
        <w:pStyle w:val="FirstParagraph"/>
      </w:pPr>
      <w:r>
        <w:t>Рассмотри три случая ведения боевых действий: 1. Боевые действия между регулярными войсками 2. Боевые действия с участием регулярных войск и партизанск</w:t>
      </w:r>
      <w:r>
        <w:t>их отрядов 3. Боевые действия между партизанскими отрядами</w:t>
      </w:r>
    </w:p>
    <w:p w14:paraId="03C7216A" w14:textId="77777777" w:rsidR="00BB6FDA" w:rsidRDefault="00BD2AFB">
      <w:pPr>
        <w:pStyle w:val="a0"/>
      </w:pPr>
      <w:r>
        <w:t>В первом случае численность регулярных войск определяется тремя факторами:</w:t>
      </w:r>
    </w:p>
    <w:p w14:paraId="0959886C" w14:textId="77777777" w:rsidR="00BB6FDA" w:rsidRDefault="00BD2AFB">
      <w:pPr>
        <w:pStyle w:val="Compact"/>
        <w:numPr>
          <w:ilvl w:val="0"/>
          <w:numId w:val="3"/>
        </w:numPr>
      </w:pPr>
      <w:r>
        <w:lastRenderedPageBreak/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4AD35174" w14:textId="77777777" w:rsidR="00BB6FDA" w:rsidRDefault="00BD2AFB">
      <w:pPr>
        <w:pStyle w:val="Compact"/>
        <w:numPr>
          <w:ilvl w:val="0"/>
          <w:numId w:val="3"/>
        </w:numPr>
      </w:pPr>
      <w:r>
        <w:t>ско</w:t>
      </w:r>
      <w:r>
        <w:t>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27E8AE27" w14:textId="77777777" w:rsidR="00BB6FDA" w:rsidRDefault="00BD2AFB">
      <w:pPr>
        <w:pStyle w:val="Compact"/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246DCDEF" w14:textId="77777777" w:rsidR="00BB6FDA" w:rsidRDefault="00BD2AFB">
      <w:pPr>
        <w:pStyle w:val="FirstParagraph"/>
      </w:pPr>
      <w:r>
        <w:t>В этом случае мо</w:t>
      </w:r>
      <w:r>
        <w:t>дель боевых действий между регулярными войсками описывается следующим образом</w:t>
      </w:r>
    </w:p>
    <w:p w14:paraId="23821368" w14:textId="77777777" w:rsidR="00BB6FDA" w:rsidRDefault="00BD2AF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02F3E7E" w14:textId="77777777" w:rsidR="00BB6FDA" w:rsidRDefault="00BD2AFB">
      <w:pPr>
        <w:pStyle w:val="FirstParagraph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</w:t>
      </w:r>
      <w:r>
        <w:t xml:space="preserve">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3F7D4D14" w14:textId="77777777" w:rsidR="00BB6FDA" w:rsidRDefault="00BD2AFB">
      <w:pPr>
        <w:pStyle w:val="a0"/>
      </w:pPr>
      <w:r>
        <w:t>Во втором случае в борьбу добавляются партизанские отряды. Н</w:t>
      </w:r>
      <w:r>
        <w:t>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</w:t>
      </w:r>
      <w:r>
        <w:t>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4502C1EC" w14:textId="77777777" w:rsidR="00BB6FDA" w:rsidRDefault="00BD2AF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5D6436B" w14:textId="77777777" w:rsidR="00BB6FDA" w:rsidRDefault="00BD2AFB">
      <w:pPr>
        <w:pStyle w:val="FirstParagraph"/>
      </w:pPr>
      <w:r>
        <w:t>Модель ведение боевых действий между партизанскими отрядами с учетом предположений, сделанном в предыдущем случаем, имеет вид:</w:t>
      </w:r>
    </w:p>
    <w:p w14:paraId="57E51AB0" w14:textId="77777777" w:rsidR="00BB6FDA" w:rsidRDefault="00BD2AF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B3DC255" w14:textId="77777777" w:rsidR="00BB6FDA" w:rsidRDefault="00BD2AFB">
      <w:pPr>
        <w:pStyle w:val="FirstParagraph"/>
      </w:pPr>
      <w:r>
        <w:t xml:space="preserve">В простейшей модели борьбы двух противников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являются постоянными.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</w:t>
      </w:r>
      <w:r>
        <w:t xml:space="preserve">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- это численности противост</w:t>
      </w:r>
      <w:r>
        <w:t>оящих армий. Тогда модель принимает вид</w:t>
      </w:r>
    </w:p>
    <w:p w14:paraId="5B54FC09" w14:textId="77777777" w:rsidR="00BB6FDA" w:rsidRDefault="00BD2AF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</m:e>
                </m:mr>
              </m:m>
            </m:e>
          </m:d>
        </m:oMath>
      </m:oMathPara>
    </w:p>
    <w:p w14:paraId="6655D835" w14:textId="77777777" w:rsidR="00BB6FDA" w:rsidRDefault="00BD2AFB">
      <w:pPr>
        <w:pStyle w:val="FirstParagraph"/>
      </w:pPr>
      <w:r>
        <w:t>Это - жесткая модель, которая допускает точное решение</w:t>
      </w:r>
    </w:p>
    <w:p w14:paraId="06545B86" w14:textId="77777777" w:rsidR="00BB6FDA" w:rsidRDefault="00BD2AFB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6D47D73A" w14:textId="77777777" w:rsidR="00BB6FDA" w:rsidRDefault="00BD2AFB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7818CB12" w14:textId="77777777" w:rsidR="00BB6FDA" w:rsidRDefault="00BD2AFB">
      <w:pPr>
        <w:pStyle w:val="a0"/>
      </w:pPr>
      <w:r>
        <w:t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 w14:paraId="6A336D3E" w14:textId="77777777" w:rsidR="00BB6FDA" w:rsidRDefault="00BD2AFB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4554EE75" wp14:editId="664CC815">
            <wp:extent cx="5334000" cy="3493119"/>
            <wp:effectExtent l="0" t="0" r="0" b="0"/>
            <wp:docPr id="1" name="Picture" descr="Figure 1: Жесткая модель вой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1F2DF87" w14:textId="77777777" w:rsidR="00BB6FDA" w:rsidRDefault="00BD2AFB">
      <w:pPr>
        <w:pStyle w:val="ImageCaption"/>
      </w:pPr>
      <w:r>
        <w:t>Figure 1: Жесткая модель войны</w:t>
      </w:r>
    </w:p>
    <w:p w14:paraId="6D762F7B" w14:textId="77777777" w:rsidR="00BB6FDA" w:rsidRDefault="00BD2AFB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cx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by</m:t>
            </m:r>
          </m:e>
        </m:rad>
      </m:oMath>
      <w:r>
        <w:t>. Если начальная т</w:t>
      </w:r>
      <w:r>
        <w:t xml:space="preserve">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 xml:space="preserve">.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 Если начальная точка лежит ниже, то выигрывает армия </w:t>
      </w:r>
      <m:oMath>
        <m:r>
          <w:rPr>
            <w:rFonts w:ascii="Cambria Math" w:hAnsi="Cambria Math"/>
          </w:rPr>
          <m:t>x</m:t>
        </m:r>
      </m:oMath>
      <w:r>
        <w:t>. В раз</w:t>
      </w:r>
      <w:r>
        <w:t>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 Вывод модели таков: для борьбы с вдвое более многочисленны</w:t>
      </w:r>
      <w:r>
        <w:t>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 Стоит помнить, что эта модель сильно идеализирована и неприменима к реальной ситуации. Но мож</w:t>
      </w:r>
      <w:r>
        <w:t xml:space="preserve">ет использоваться для начального анализа. </w:t>
      </w:r>
      <w:r>
        <w:lastRenderedPageBreak/>
        <w:t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 w14:paraId="6A088209" w14:textId="77777777" w:rsidR="00BB6FDA" w:rsidRDefault="00BD2AF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37172F3" w14:textId="77777777" w:rsidR="00BB6FDA" w:rsidRDefault="00BD2AFB">
      <w:pPr>
        <w:pStyle w:val="FirstParagraph"/>
      </w:pPr>
      <w:r>
        <w:t xml:space="preserve">Эта система приводится к уравнению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))=</m:t>
        </m:r>
        <m:r>
          <w:rPr>
            <w:rFonts w:ascii="Cambria Math" w:hAnsi="Cambria Math"/>
          </w:rPr>
          <m:t>0</m:t>
        </m:r>
      </m:oMath>
      <w:r>
        <w:t xml:space="preserve"> которое при заданных начальных условиях имеет единственное решение: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cy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253D2C2" w14:textId="77777777" w:rsidR="00BB6FDA" w:rsidRDefault="00BD2AFB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AA4B5B5" wp14:editId="0BDB9FB2">
            <wp:extent cx="5334000" cy="3493119"/>
            <wp:effectExtent l="0" t="0" r="0" b="0"/>
            <wp:docPr id="2" name="Picture" descr="Figure 2: Фазовые траектории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4C92755" w14:textId="77777777" w:rsidR="00BB6FDA" w:rsidRDefault="00BD2AFB">
      <w:pPr>
        <w:pStyle w:val="ImageCaption"/>
      </w:pPr>
      <w:r>
        <w:t>Figure 2: Фазовые траектории для второго случая</w:t>
      </w:r>
    </w:p>
    <w:p w14:paraId="23F6ACF7" w14:textId="77777777" w:rsidR="00BB6FDA" w:rsidRDefault="00BD2AFB">
      <w:pPr>
        <w:pStyle w:val="a0"/>
      </w:pPr>
      <w:r>
        <w:t>Из Рисунка fig. 2 видно, что п</w:t>
      </w:r>
      <w:r>
        <w:t xml:space="preserve">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получаем соотношение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Чтобы одержать победу партизанам необходимо увеличить коэффициент </w:t>
      </w:r>
      <m:oMath>
        <m:r>
          <w:rPr>
            <w:rFonts w:ascii="Cambria Math" w:hAnsi="Cambria Math"/>
          </w:rPr>
          <m:t>c</m:t>
        </m:r>
      </m:oMath>
      <w:r>
        <w:t xml:space="preserve"> и повысить свою начальную численность на соответствующую величину. Причем это увеличение, с ростом начальной численности регулярных войск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должно расти не линейно, а пропорцион</w:t>
      </w:r>
      <w:r>
        <w:t xml:space="preserve">ально второй степени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 Рассмотренные простейшие модели соперничест</w:t>
      </w:r>
      <w:r>
        <w:t>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 w14:paraId="49564557" w14:textId="77777777" w:rsidR="00BB6FDA" w:rsidRDefault="00BD2AFB">
      <w:pPr>
        <w:pStyle w:val="2"/>
      </w:pPr>
      <w:bookmarkStart w:id="10" w:name="задача"/>
      <w:bookmarkStart w:id="11" w:name="_Toc96796076"/>
      <w:bookmarkEnd w:id="6"/>
      <w:r>
        <w:rPr>
          <w:rStyle w:val="SectionNumber"/>
        </w:rPr>
        <w:lastRenderedPageBreak/>
        <w:t>3.2</w:t>
      </w:r>
      <w:r>
        <w:tab/>
        <w:t>Задача</w:t>
      </w:r>
      <w:bookmarkEnd w:id="11"/>
    </w:p>
    <w:p w14:paraId="0DAEEAA2" w14:textId="77777777" w:rsidR="00BB6FDA" w:rsidRDefault="00BD2AFB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895000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577000 человек.</w:t>
      </w:r>
      <w:r>
        <w:t xml:space="preserve">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0A6BFC08" w14:textId="77777777" w:rsidR="00BB6FDA" w:rsidRDefault="00BD2AFB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</w:t>
      </w:r>
      <w:r>
        <w:t>и</w:t>
      </w:r>
    </w:p>
    <w:p w14:paraId="6BB074B4" w14:textId="77777777" w:rsidR="00BB6FDA" w:rsidRDefault="00BD2AFB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0.93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0.29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6B7A0743" w14:textId="77777777" w:rsidR="00BB6FDA" w:rsidRDefault="00BD2AFB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038A3953" wp14:editId="68C5C778">
            <wp:extent cx="5334000" cy="3556000"/>
            <wp:effectExtent l="0" t="0" r="0" b="0"/>
            <wp:docPr id="3" name="Picture" descr="Figure 3: График численност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3758881" w14:textId="77777777" w:rsidR="00BB6FDA" w:rsidRDefault="00BD2AFB">
      <w:pPr>
        <w:pStyle w:val="ImageCaption"/>
      </w:pPr>
      <w:r>
        <w:t>Figure 3: График численности для случая 1</w:t>
      </w:r>
    </w:p>
    <w:p w14:paraId="0F029DC0" w14:textId="77777777" w:rsidR="00BB6FDA" w:rsidRDefault="00BD2AFB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26A7CE7" w14:textId="77777777" w:rsidR="00BB6FDA" w:rsidRDefault="00BD2AFB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</w:t>
      </w:r>
    </w:p>
    <w:p w14:paraId="7A46A5EC" w14:textId="77777777" w:rsidR="00BB6FDA" w:rsidRDefault="00BD2AFB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0.3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0.88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0.41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3584041" w14:textId="77777777" w:rsidR="00BB6FDA" w:rsidRDefault="00BD2AFB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068227C8" wp14:editId="4A3CC752">
            <wp:extent cx="5334000" cy="3556000"/>
            <wp:effectExtent l="0" t="0" r="0" b="0"/>
            <wp:docPr id="4" name="Picture" descr="Figure 4: График численност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BA5B848" w14:textId="77777777" w:rsidR="00BB6FDA" w:rsidRDefault="00BD2AFB">
      <w:pPr>
        <w:pStyle w:val="ImageCaption"/>
      </w:pPr>
      <w:r>
        <w:t>Figure 4: График численности для случая 2</w:t>
      </w:r>
    </w:p>
    <w:p w14:paraId="4F9B849D" w14:textId="77777777" w:rsidR="00BB6FDA" w:rsidRDefault="00BD2AFB">
      <w:pPr>
        <w:pStyle w:val="a0"/>
      </w:pPr>
      <w:r>
        <w:t xml:space="preserve">Победа достается армии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1C3B4897" w14:textId="77777777" w:rsidR="00BB6FDA" w:rsidRDefault="00BD2AFB">
      <w:pPr>
        <w:pStyle w:val="2"/>
      </w:pPr>
      <w:bookmarkStart w:id="14" w:name="код-программы"/>
      <w:bookmarkStart w:id="15" w:name="_Toc96796077"/>
      <w:bookmarkEnd w:id="10"/>
      <w:r>
        <w:rPr>
          <w:rStyle w:val="SectionNumber"/>
        </w:rPr>
        <w:t>3.3</w:t>
      </w:r>
      <w:r>
        <w:tab/>
        <w:t>Код программы</w:t>
      </w:r>
      <w:bookmarkEnd w:id="15"/>
    </w:p>
    <w:p w14:paraId="295C7C42" w14:textId="77777777" w:rsidR="00BB6FDA" w:rsidRDefault="00BD2AFB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x0 = 895000</w:t>
      </w:r>
      <w:r>
        <w:br/>
      </w:r>
      <w:r>
        <w:rPr>
          <w:rStyle w:val="VerbatimChar"/>
        </w:rPr>
        <w:t>y0 = 577000</w:t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</w:t>
      </w:r>
      <w:r>
        <w:br/>
      </w:r>
      <w:r>
        <w:br/>
      </w:r>
      <w:r>
        <w:rPr>
          <w:rStyle w:val="VerbatimChar"/>
        </w:rPr>
        <w:t>a = 0.34</w:t>
      </w:r>
      <w:r>
        <w:br/>
      </w:r>
      <w:r>
        <w:rPr>
          <w:rStyle w:val="VerbatimChar"/>
        </w:rPr>
        <w:t>b = 0.93</w:t>
      </w:r>
      <w:r>
        <w:br/>
      </w:r>
      <w:r>
        <w:rPr>
          <w:rStyle w:val="VerbatimChar"/>
        </w:rPr>
        <w:t>c = 0.54</w:t>
      </w:r>
      <w:r>
        <w:br/>
      </w:r>
      <w:r>
        <w:rPr>
          <w:rStyle w:val="VerbatimChar"/>
        </w:rPr>
        <w:t>h = 0.29</w:t>
      </w:r>
      <w:r>
        <w:br/>
      </w:r>
      <w:r>
        <w:br/>
      </w:r>
      <w:r>
        <w:rPr>
          <w:rStyle w:val="VerbatimChar"/>
        </w:rPr>
        <w:t>a2 = 0.31</w:t>
      </w:r>
      <w:r>
        <w:br/>
      </w:r>
      <w:r>
        <w:rPr>
          <w:rStyle w:val="VerbatimChar"/>
        </w:rPr>
        <w:t>b2 = 0.88</w:t>
      </w:r>
      <w:r>
        <w:br/>
      </w:r>
      <w:r>
        <w:rPr>
          <w:rStyle w:val="VerbatimChar"/>
        </w:rPr>
        <w:t>c2 = 0.41</w:t>
      </w:r>
      <w:r>
        <w:br/>
      </w:r>
      <w:r>
        <w:rPr>
          <w:rStyle w:val="VerbatimChar"/>
        </w:rPr>
        <w:t>h2 = 0.41</w:t>
      </w:r>
      <w:r>
        <w:br/>
      </w:r>
      <w:r>
        <w:br/>
      </w:r>
      <w:r>
        <w:rPr>
          <w:rStyle w:val="VerbatimChar"/>
        </w:rPr>
        <w:t>def P(t):</w:t>
      </w:r>
      <w:r>
        <w:br/>
      </w:r>
      <w:r>
        <w:rPr>
          <w:rStyle w:val="VerbatimChar"/>
        </w:rPr>
        <w:t xml:space="preserve">    p=2*math.sin(t)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lastRenderedPageBreak/>
        <w:t>def Q(t):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q=math.cos(t)+3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>def P2(t):</w:t>
      </w:r>
      <w:r>
        <w:br/>
      </w:r>
      <w:r>
        <w:rPr>
          <w:rStyle w:val="VerbatimChar"/>
        </w:rPr>
        <w:t xml:space="preserve">    p=2*math.sin(2*t)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>def Q2(t):</w:t>
      </w:r>
      <w:r>
        <w:br/>
      </w:r>
      <w:r>
        <w:rPr>
          <w:rStyle w:val="VerbatimChar"/>
        </w:rPr>
        <w:t xml:space="preserve">    q=math.cos(t)+3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>t = np.linspace( 0, tmax, num = 100)</w:t>
      </w:r>
      <w:r>
        <w:br/>
      </w:r>
      <w:r>
        <w:rPr>
          <w:rStyle w:val="VerbatimChar"/>
        </w:rPr>
        <w:t>y0 = [x0, y0]</w:t>
      </w:r>
      <w:r>
        <w:br/>
      </w:r>
      <w:r>
        <w:rPr>
          <w:rStyle w:val="VerbatimChar"/>
        </w:rPr>
        <w:t>w1 = odeint(f, y0, t)</w:t>
      </w:r>
      <w:r>
        <w:br/>
      </w:r>
      <w:r>
        <w:rPr>
          <w:rStyle w:val="VerbatimChar"/>
        </w:rPr>
        <w:t>y11 = w1[:,0]</w:t>
      </w:r>
      <w:r>
        <w:br/>
      </w:r>
      <w:r>
        <w:rPr>
          <w:rStyle w:val="VerbatimChar"/>
        </w:rPr>
        <w:t>y21 = w1[:,1]</w:t>
      </w:r>
      <w:r>
        <w:br/>
      </w:r>
      <w:r>
        <w:rPr>
          <w:rStyle w:val="VerbatimChar"/>
        </w:rPr>
        <w:t>fig =</w:t>
      </w:r>
      <w:r>
        <w:rPr>
          <w:rStyle w:val="VerbatimChar"/>
        </w:rPr>
        <w:t xml:space="preserve"> plt.figure(facecolor='white')</w:t>
      </w:r>
      <w:r>
        <w:br/>
      </w:r>
      <w:r>
        <w:rPr>
          <w:rStyle w:val="VerbatimChar"/>
        </w:rPr>
        <w:t>plt.plot(t, y11, t, y21, linewidth=2)</w:t>
      </w:r>
      <w:r>
        <w:br/>
      </w:r>
      <w:r>
        <w:rPr>
          <w:rStyle w:val="VerbatimChar"/>
        </w:rPr>
        <w:t>plt.ylabel("x, 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fig.savefig('03.png', dpi = 600)</w:t>
      </w:r>
      <w:r>
        <w:br/>
      </w:r>
      <w:r>
        <w:br/>
      </w:r>
      <w:r>
        <w:rPr>
          <w:rStyle w:val="VerbatimChar"/>
        </w:rPr>
        <w:t>w1 = odeint(f2, y0, t)</w:t>
      </w:r>
      <w:r>
        <w:br/>
      </w:r>
      <w:r>
        <w:rPr>
          <w:rStyle w:val="VerbatimChar"/>
        </w:rPr>
        <w:t>y12 = w1[:,0]</w:t>
      </w:r>
      <w:r>
        <w:br/>
      </w:r>
      <w:r>
        <w:rPr>
          <w:rStyle w:val="VerbatimChar"/>
        </w:rPr>
        <w:t>y22 = w1[:,1]</w:t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t>plt.</w:t>
      </w:r>
      <w:r>
        <w:rPr>
          <w:rStyle w:val="VerbatimChar"/>
        </w:rPr>
        <w:t>plot(t, y12, t, y22, linewidth=2)</w:t>
      </w:r>
      <w:r>
        <w:br/>
      </w:r>
      <w:r>
        <w:rPr>
          <w:rStyle w:val="VerbatimChar"/>
        </w:rPr>
        <w:t>plt.ylabel("x, 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fig2.savefig('04.png', dpi = 600)</w:t>
      </w:r>
    </w:p>
    <w:p w14:paraId="5C17BAAE" w14:textId="77777777" w:rsidR="00BB6FDA" w:rsidRDefault="00BD2AFB">
      <w:pPr>
        <w:pStyle w:val="1"/>
      </w:pPr>
      <w:bookmarkStart w:id="16" w:name="выводы"/>
      <w:bookmarkStart w:id="17" w:name="_Toc96796078"/>
      <w:bookmarkEnd w:id="4"/>
      <w:bookmarkEnd w:id="14"/>
      <w:r>
        <w:rPr>
          <w:rStyle w:val="SectionNumber"/>
        </w:rPr>
        <w:t>4</w:t>
      </w:r>
      <w:r>
        <w:tab/>
        <w:t>Выводы</w:t>
      </w:r>
      <w:bookmarkEnd w:id="17"/>
    </w:p>
    <w:p w14:paraId="156182B9" w14:textId="77777777" w:rsidR="00BB6FDA" w:rsidRDefault="00BD2AFB"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 Проверили, как работает модель в различных ситуациях, построили графики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рассматриваемых случаях.</w:t>
      </w:r>
    </w:p>
    <w:p w14:paraId="58E0C10E" w14:textId="77777777" w:rsidR="00BB6FDA" w:rsidRDefault="00BD2AFB">
      <w:pPr>
        <w:pStyle w:val="1"/>
      </w:pPr>
      <w:bookmarkStart w:id="18" w:name="список-литературы"/>
      <w:bookmarkStart w:id="19" w:name="_Toc96796079"/>
      <w:bookmarkEnd w:id="16"/>
      <w:r>
        <w:lastRenderedPageBreak/>
        <w:t>Список литературы</w:t>
      </w:r>
      <w:bookmarkEnd w:id="19"/>
    </w:p>
    <w:p w14:paraId="415B2BB9" w14:textId="77777777" w:rsidR="00BB6FDA" w:rsidRDefault="00BD2AFB">
      <w:pPr>
        <w:pStyle w:val="Compact"/>
        <w:numPr>
          <w:ilvl w:val="0"/>
          <w:numId w:val="6"/>
        </w:numPr>
      </w:pPr>
      <w:hyperlink r:id="rId11">
        <w:r>
          <w:rPr>
            <w:rStyle w:val="ad"/>
          </w:rPr>
          <w:t xml:space="preserve">Законы Осипова — </w:t>
        </w:r>
        <w:proofErr w:type="spellStart"/>
        <w:r>
          <w:rPr>
            <w:rStyle w:val="ad"/>
          </w:rPr>
          <w:t>Ланчестера</w:t>
        </w:r>
        <w:proofErr w:type="spellEnd"/>
      </w:hyperlink>
    </w:p>
    <w:p w14:paraId="61A938CA" w14:textId="77777777" w:rsidR="00BB6FDA" w:rsidRDefault="00BD2AFB">
      <w:pPr>
        <w:pStyle w:val="Compact"/>
        <w:numPr>
          <w:ilvl w:val="0"/>
          <w:numId w:val="6"/>
        </w:numPr>
      </w:pPr>
      <w:hyperlink r:id="rId12">
        <w:r>
          <w:rPr>
            <w:rStyle w:val="ad"/>
          </w:rPr>
          <w:t>Дифференциальные уравнения динамики боя</w:t>
        </w:r>
      </w:hyperlink>
    </w:p>
    <w:p w14:paraId="33F47C65" w14:textId="77777777" w:rsidR="00BB6FDA" w:rsidRDefault="00BD2AFB">
      <w:pPr>
        <w:pStyle w:val="Compact"/>
        <w:numPr>
          <w:ilvl w:val="0"/>
          <w:numId w:val="6"/>
        </w:numPr>
      </w:pPr>
      <w:hyperlink r:id="rId13">
        <w:r>
          <w:rPr>
            <w:rStyle w:val="ad"/>
          </w:rPr>
          <w:t>Элементарные модели боя</w:t>
        </w:r>
      </w:hyperlink>
      <w:bookmarkEnd w:id="18"/>
    </w:p>
    <w:sectPr w:rsidR="00BB6F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7018" w14:textId="77777777" w:rsidR="00BD2AFB" w:rsidRDefault="00BD2AFB">
      <w:pPr>
        <w:spacing w:after="0"/>
      </w:pPr>
      <w:r>
        <w:separator/>
      </w:r>
    </w:p>
  </w:endnote>
  <w:endnote w:type="continuationSeparator" w:id="0">
    <w:p w14:paraId="0C9ABDE4" w14:textId="77777777" w:rsidR="00BD2AFB" w:rsidRDefault="00BD2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5570" w14:textId="77777777" w:rsidR="00BD2AFB" w:rsidRDefault="00BD2AFB">
      <w:r>
        <w:separator/>
      </w:r>
    </w:p>
  </w:footnote>
  <w:footnote w:type="continuationSeparator" w:id="0">
    <w:p w14:paraId="1E216FD1" w14:textId="77777777" w:rsidR="00BD2AFB" w:rsidRDefault="00BD2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E0460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72A60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E466BA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B6FDA"/>
    <w:rsid w:val="00BC48D5"/>
    <w:rsid w:val="00BD2AFB"/>
    <w:rsid w:val="00C36279"/>
    <w:rsid w:val="00CD2B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9EF7"/>
  <w15:docId w15:val="{F176B5A0-1F8B-4AE0-947E-B60595AA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2B5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2B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tuit.ru/studies/educational_groups/594/courses/499/lecture/11353?page=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en.yandex.ru/media/id/5fd3c685994c494848984b63/differencialnye-uravneniia-dinamiki-boia-5fd4bcc45a2c8e1f2cc208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7;&#1072;&#1082;&#1086;&#1085;&#1099;_&#1054;&#1089;&#1080;&#1087;&#1086;&#1074;&#1072;_&#8212;_&#1051;&#1072;&#1085;&#1095;&#1077;&#1089;&#1090;&#1077;&#1088;&#1072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Самир Даутов НПИбд-01-19</dc:creator>
  <cp:keywords/>
  <cp:lastModifiedBy>Кан Ир-Сен Сергеевич</cp:lastModifiedBy>
  <cp:revision>2</cp:revision>
  <dcterms:created xsi:type="dcterms:W3CDTF">2022-02-22T17:52:00Z</dcterms:created>
  <dcterms:modified xsi:type="dcterms:W3CDTF">2022-02-26T16:28:00Z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