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Times New Roman" w:cs="Times New Roman" w:eastAsia="Times New Roman" w:hAnsi="Times New Roman"/>
          <w:b/>
          <w:bCs/>
          <w:i w:val="false"/>
          <w:iCs w:val="false"/>
          <w:color w:val="1f3b73"/>
          <w:sz w:val="34"/>
          <w:szCs w:val="34"/>
        </w:rPr>
        <w:t xml:space="preserve">Revision &amp; Anti-Fabrication Audit Report</w:t>
      </w:r>
    </w:p>
    <w:p>
      <w:pPr>
        <w:spacing w:after="40"/>
        <w:jc w:val="left"/>
      </w:pPr>
      <w:r>
        <w:rPr>
          <w:rFonts w:ascii="Times New Roman" w:cs="Times New Roman" w:eastAsia="Times New Roman" w:hAnsi="Times New Roman"/>
          <w:b w:val="false"/>
          <w:bCs w:val="false"/>
          <w:i w:val="false"/>
          <w:iCs w:val="false"/>
          <w:color w:val="1a1a1a"/>
          <w:sz w:val="21"/>
          <w:szCs w:val="21"/>
        </w:rPr>
        <w:t xml:space="preserve">Companion document to </w:t>
      </w:r>
      <w:r>
        <w:rPr>
          <w:rFonts w:ascii="Times New Roman" w:cs="Times New Roman" w:eastAsia="Times New Roman" w:hAnsi="Times New Roman"/>
          <w:b w:val="false"/>
          <w:bCs w:val="false"/>
          <w:i/>
          <w:iCs/>
          <w:color w:val="1a1a1a"/>
          <w:sz w:val="21"/>
          <w:szCs w:val="21"/>
        </w:rPr>
        <w:t xml:space="preserve">“A Trustworthy, Explainable, and Auditable AI Assistant for DeFi Personal-Finance Risk Assessment”</w:t>
      </w:r>
      <w:r>
        <w:rPr>
          <w:rFonts w:ascii="Times New Roman" w:cs="Times New Roman" w:eastAsia="Times New Roman" w:hAnsi="Times New Roman"/>
          <w:b w:val="false"/>
          <w:bCs w:val="false"/>
          <w:i w:val="false"/>
          <w:iCs w:val="false"/>
          <w:color w:val="1a1a1a"/>
          <w:sz w:val="21"/>
          <w:szCs w:val="21"/>
        </w:rPr>
        <w:t xml:space="preserve"> (IEEE-format paper, v2)</w:t>
      </w:r>
    </w:p>
    <w:p>
      <w:pPr>
        <w:pBdr>
          <w:bottom w:val="single" w:color="888888" w:sz="6" w:space="6"/>
        </w:pBdr>
        <w:spacing w:after="60"/>
        <w:jc w:val="left"/>
      </w:pPr>
      <w:r>
        <w:rPr>
          <w:rFonts w:ascii="Times New Roman" w:cs="Times New Roman" w:eastAsia="Times New Roman" w:hAnsi="Times New Roman"/>
          <w:b w:val="false"/>
          <w:bCs w:val="false"/>
          <w:i w:val="false"/>
          <w:iCs w:val="false"/>
          <w:color w:val="555555"/>
          <w:sz w:val="18"/>
          <w:szCs w:val="18"/>
        </w:rPr>
        <w:t xml:space="preserve">Prepared for supervisor review · Generated 27 August 2026 · Paper build: 19 pages, US Letter</w:t>
      </w:r>
    </w:p>
    <w:p>
      <w:pPr>
        <w:keepNext/>
        <w:pBdr>
          <w:bottom w:val="single" w:color="1f3b73" w:sz="6" w:space="4"/>
        </w:pBdr>
        <w:spacing w:after="120" w:before="260"/>
      </w:pPr>
      <w:r>
        <w:rPr>
          <w:rFonts w:ascii="Times New Roman" w:cs="Times New Roman" w:eastAsia="Times New Roman" w:hAnsi="Times New Roman"/>
          <w:b/>
          <w:bCs/>
          <w:i w:val="false"/>
          <w:iCs w:val="false"/>
          <w:color w:val="1f3b73"/>
          <w:sz w:val="26"/>
          <w:szCs w:val="26"/>
        </w:rPr>
        <w:t xml:space="preserve">1.  Purpose and Scope</w:t>
      </w:r>
    </w:p>
    <w:p>
      <w:pPr>
        <w:spacing w:after="120" w:before="0" w:line="276"/>
        <w:jc w:val="both"/>
      </w:pPr>
      <w:r>
        <w:rPr>
          <w:rFonts w:ascii="Times New Roman" w:cs="Times New Roman" w:eastAsia="Times New Roman" w:hAnsi="Times New Roman"/>
          <w:b w:val="false"/>
          <w:bCs w:val="false"/>
          <w:i w:val="false"/>
          <w:iCs w:val="false"/>
          <w:color w:val="1a1a1a"/>
          <w:sz w:val="21"/>
          <w:szCs w:val="21"/>
        </w:rPr>
        <w:t xml:space="preserve">This report documents the supervisor-driven revision of the IEEE paper and provides a complete evidence trail for every quantitative claim it contains. Its purpose is to let a reviewer confirm two things independently: first, that each result, figure, table, and statistic in the paper is traceable to a concrete source artifact from the project, and second, that the revision strengthened rigor and disclosure without inventing data, inflating results, or removing unfavorable findings. The report also records one figure that was deliberately excluded, with the exact numerical reason, and lists the fields that still require the author's input.</w:t>
      </w:r>
    </w:p>
    <w:p>
      <w:pPr>
        <w:spacing w:after="120" w:before="0" w:line="276"/>
        <w:jc w:val="both"/>
      </w:pPr>
      <w:r>
        <w:rPr>
          <w:rFonts w:ascii="Times New Roman" w:cs="Times New Roman" w:eastAsia="Times New Roman" w:hAnsi="Times New Roman"/>
          <w:b w:val="false"/>
          <w:bCs w:val="false"/>
          <w:i w:val="false"/>
          <w:iCs w:val="false"/>
          <w:color w:val="1a1a1a"/>
          <w:sz w:val="21"/>
          <w:szCs w:val="21"/>
        </w:rPr>
        <w:t xml:space="preserve">Nothing in the paper was generated to make the system look stronger than the artifacts support. Where the evidence is unfavorable to the deployed model — the guardrail dominates most decisions, a simpler baseline matches or edges the neural network, the labels are proxies rather than outcomes — the paper states so, and this report shows where each such statement comes from.</w:t>
      </w:r>
    </w:p>
    <w:p>
      <w:pPr>
        <w:keepNext/>
        <w:pBdr>
          <w:bottom w:val="single" w:color="1f3b73" w:sz="6" w:space="4"/>
        </w:pBdr>
        <w:spacing w:after="120" w:before="260"/>
      </w:pPr>
      <w:r>
        <w:rPr>
          <w:rFonts w:ascii="Times New Roman" w:cs="Times New Roman" w:eastAsia="Times New Roman" w:hAnsi="Times New Roman"/>
          <w:b/>
          <w:bCs/>
          <w:i w:val="false"/>
          <w:iCs w:val="false"/>
          <w:color w:val="1f3b73"/>
          <w:sz w:val="26"/>
          <w:szCs w:val="26"/>
        </w:rPr>
        <w:t xml:space="preserve">2.  Summary of the Revision</w:t>
      </w:r>
    </w:p>
    <w:p>
      <w:pPr>
        <w:spacing w:after="120" w:before="0" w:line="276"/>
        <w:jc w:val="both"/>
      </w:pPr>
      <w:r>
        <w:rPr>
          <w:rFonts w:ascii="Times New Roman" w:cs="Times New Roman" w:eastAsia="Times New Roman" w:hAnsi="Times New Roman"/>
          <w:b w:val="false"/>
          <w:bCs w:val="false"/>
          <w:i w:val="false"/>
          <w:iCs w:val="false"/>
          <w:color w:val="1a1a1a"/>
          <w:sz w:val="21"/>
          <w:szCs w:val="21"/>
        </w:rPr>
        <w:t xml:space="preserve">Four explicit supervisor requirements were addressed, alongside a broader tightening of the methodology, statistics, references, and research-question mapping. Their status is summarized below.</w:t>
      </w:r>
    </w:p>
    <w:tbl>
      <w:tblPr>
        <w:tblW w:type="dxa" w:w="9360"/>
        <w:tblBorders>
          <w:top w:val="single" w:color="888888" w:sz="4"/>
          <w:left w:val="none"/>
          <w:bottom w:val="single" w:color="888888" w:sz="4"/>
          <w:right w:val="none"/>
          <w:insideH w:val="single" w:color="cccccc" w:sz="2"/>
          <w:insideV w:val="none"/>
        </w:tblBorders>
      </w:tblPr>
      <w:tblGrid>
        <w:gridCol w:w="520"/>
        <w:gridCol w:w="3180"/>
        <w:gridCol w:w="4620"/>
        <w:gridCol w:w="1040"/>
      </w:tblGrid>
      <w:tr>
        <w:trPr>
          <w:tblHeader/>
        </w:trPr>
        <w:tc>
          <w:tcPr>
            <w:tcW w:type="dxa" w:w="520"/>
            <w:shd w:fill="1f3b73" w:color="auto" w:val="clear"/>
            <w:tcMar>
              <w:top w:type="dxa" w:w="40"/>
              <w:left w:type="dxa" w:w="90"/>
              <w:bottom w:type="dxa" w:w="40"/>
              <w:right w:type="dxa" w:w="90"/>
            </w:tcMar>
            <w:vAlign w:val="center"/>
          </w:tcPr>
          <w:p>
            <w:pPr>
              <w:spacing w:after="0" w:line="240"/>
              <w:jc w:val="left"/>
            </w:pPr>
            <w:r>
              <w:rPr>
                <w:rFonts w:ascii="Times New Roman" w:cs="Times New Roman" w:eastAsia="Times New Roman" w:hAnsi="Times New Roman"/>
                <w:b/>
                <w:bCs/>
                <w:i w:val="false"/>
                <w:iCs w:val="false"/>
                <w:color w:val="ffffff"/>
                <w:sz w:val="18"/>
                <w:szCs w:val="18"/>
              </w:rPr>
              <w:t xml:space="preserve">#</w:t>
            </w:r>
          </w:p>
        </w:tc>
        <w:tc>
          <w:tcPr>
            <w:tcW w:type="dxa" w:w="3180"/>
            <w:shd w:fill="1f3b73" w:color="auto" w:val="clear"/>
            <w:tcMar>
              <w:top w:type="dxa" w:w="40"/>
              <w:left w:type="dxa" w:w="90"/>
              <w:bottom w:type="dxa" w:w="40"/>
              <w:right w:type="dxa" w:w="90"/>
            </w:tcMar>
            <w:vAlign w:val="center"/>
          </w:tcPr>
          <w:p>
            <w:pPr>
              <w:spacing w:after="0" w:line="240"/>
              <w:jc w:val="left"/>
            </w:pPr>
            <w:r>
              <w:rPr>
                <w:rFonts w:ascii="Times New Roman" w:cs="Times New Roman" w:eastAsia="Times New Roman" w:hAnsi="Times New Roman"/>
                <w:b/>
                <w:bCs/>
                <w:i w:val="false"/>
                <w:iCs w:val="false"/>
                <w:color w:val="ffffff"/>
                <w:sz w:val="18"/>
                <w:szCs w:val="18"/>
              </w:rPr>
              <w:t xml:space="preserve">Supervisor requirement</w:t>
            </w:r>
          </w:p>
        </w:tc>
        <w:tc>
          <w:tcPr>
            <w:tcW w:type="dxa" w:w="4620"/>
            <w:shd w:fill="1f3b73" w:color="auto" w:val="clear"/>
            <w:tcMar>
              <w:top w:type="dxa" w:w="40"/>
              <w:left w:type="dxa" w:w="90"/>
              <w:bottom w:type="dxa" w:w="40"/>
              <w:right w:type="dxa" w:w="90"/>
            </w:tcMar>
            <w:vAlign w:val="center"/>
          </w:tcPr>
          <w:p>
            <w:pPr>
              <w:spacing w:after="0" w:line="240"/>
              <w:jc w:val="left"/>
            </w:pPr>
            <w:r>
              <w:rPr>
                <w:rFonts w:ascii="Times New Roman" w:cs="Times New Roman" w:eastAsia="Times New Roman" w:hAnsi="Times New Roman"/>
                <w:b/>
                <w:bCs/>
                <w:i w:val="false"/>
                <w:iCs w:val="false"/>
                <w:color w:val="ffffff"/>
                <w:sz w:val="18"/>
                <w:szCs w:val="18"/>
              </w:rPr>
              <w:t xml:space="preserve">How it was met in v2</w:t>
            </w:r>
          </w:p>
        </w:tc>
        <w:tc>
          <w:tcPr>
            <w:tcW w:type="dxa" w:w="1040"/>
            <w:shd w:fill="1f3b73" w:color="auto" w:val="clear"/>
            <w:tcMar>
              <w:top w:type="dxa" w:w="40"/>
              <w:left w:type="dxa" w:w="90"/>
              <w:bottom w:type="dxa" w:w="40"/>
              <w:right w:type="dxa" w:w="90"/>
            </w:tcMar>
            <w:vAlign w:val="center"/>
          </w:tcPr>
          <w:p>
            <w:pPr>
              <w:spacing w:after="0" w:line="240"/>
              <w:jc w:val="left"/>
            </w:pPr>
            <w:r>
              <w:rPr>
                <w:rFonts w:ascii="Times New Roman" w:cs="Times New Roman" w:eastAsia="Times New Roman" w:hAnsi="Times New Roman"/>
                <w:b/>
                <w:bCs/>
                <w:i w:val="false"/>
                <w:iCs w:val="false"/>
                <w:color w:val="ffffff"/>
                <w:sz w:val="18"/>
                <w:szCs w:val="18"/>
              </w:rPr>
              <w:t xml:space="preserve">Status</w:t>
            </w:r>
          </w:p>
        </w:tc>
      </w:tr>
      <w:tr>
        <w:tc>
          <w:tcPr>
            <w:tcW w:type="dxa" w:w="520"/>
            <w:tcMar>
              <w:top w:type="dxa" w:w="40"/>
              <w:left w:type="dxa" w:w="90"/>
              <w:bottom w:type="dxa" w:w="40"/>
              <w:right w:type="dxa" w:w="90"/>
            </w:tcMar>
            <w:vAlign w:val="center"/>
          </w:tcPr>
          <w:p>
            <w:pPr>
              <w:spacing w:after="0" w:line="240"/>
              <w:jc w:val="left"/>
            </w:pPr>
            <w:r>
              <w:rPr>
                <w:rFonts w:ascii="Times New Roman" w:cs="Times New Roman" w:eastAsia="Times New Roman" w:hAnsi="Times New Roman"/>
                <w:b w:val="false"/>
                <w:bCs w:val="false"/>
                <w:i w:val="false"/>
                <w:iCs w:val="false"/>
                <w:color w:val="1a1a1a"/>
                <w:sz w:val="18"/>
                <w:szCs w:val="18"/>
              </w:rPr>
              <w:t xml:space="preserve">1</w:t>
            </w:r>
          </w:p>
        </w:tc>
        <w:tc>
          <w:tcPr>
            <w:tcW w:type="dxa" w:w="3180"/>
            <w:tcMar>
              <w:top w:type="dxa" w:w="40"/>
              <w:left w:type="dxa" w:w="90"/>
              <w:bottom w:type="dxa" w:w="40"/>
              <w:right w:type="dxa" w:w="90"/>
            </w:tcMar>
            <w:vAlign w:val="center"/>
          </w:tcPr>
          <w:p>
            <w:pPr>
              <w:spacing w:after="0" w:line="240"/>
              <w:jc w:val="left"/>
            </w:pPr>
            <w:r>
              <w:rPr>
                <w:rFonts w:ascii="Times New Roman" w:cs="Times New Roman" w:eastAsia="Times New Roman" w:hAnsi="Times New Roman"/>
                <w:b w:val="false"/>
                <w:bCs w:val="false"/>
                <w:i w:val="false"/>
                <w:iCs w:val="false"/>
                <w:color w:val="1a1a1a"/>
                <w:sz w:val="18"/>
                <w:szCs w:val="18"/>
              </w:rPr>
              <w:t xml:space="preserve">Separate per-model confusion matrices from actual predictions, with error analysis.</w:t>
            </w:r>
          </w:p>
        </w:tc>
        <w:tc>
          <w:tcPr>
            <w:tcW w:type="dxa" w:w="4620"/>
            <w:tcMar>
              <w:top w:type="dxa" w:w="40"/>
              <w:left w:type="dxa" w:w="90"/>
              <w:bottom w:type="dxa" w:w="40"/>
              <w:right w:type="dxa" w:w="90"/>
            </w:tcMar>
            <w:vAlign w:val="center"/>
          </w:tcPr>
          <w:p>
            <w:pPr>
              <w:spacing w:after="0" w:line="240"/>
              <w:jc w:val="left"/>
            </w:pPr>
            <w:r>
              <w:rPr>
                <w:rFonts w:ascii="Times New Roman" w:cs="Times New Roman" w:eastAsia="Times New Roman" w:hAnsi="Times New Roman"/>
                <w:b w:val="false"/>
                <w:bCs w:val="false"/>
                <w:i w:val="false"/>
                <w:iCs w:val="false"/>
                <w:color w:val="1a1a1a"/>
                <w:sz w:val="18"/>
                <w:szCs w:val="18"/>
              </w:rPr>
              <w:t xml:space="preserve">Fig. 4 shows all four classifiers' confusion matrices on the identical 600-case holdout; §IV-C reads the error structure (adjacent-band only; zero Low↔High confusion; High-band recall compared across models).</w:t>
            </w:r>
          </w:p>
        </w:tc>
        <w:tc>
          <w:tcPr>
            <w:tcW w:type="dxa" w:w="1040"/>
            <w:tcMar>
              <w:top w:type="dxa" w:w="40"/>
              <w:left w:type="dxa" w:w="90"/>
              <w:bottom w:type="dxa" w:w="40"/>
              <w:right w:type="dxa" w:w="90"/>
            </w:tcMar>
            <w:vAlign w:val="center"/>
          </w:tcPr>
          <w:p>
            <w:pPr>
              <w:spacing w:after="0" w:line="240"/>
              <w:jc w:val="left"/>
            </w:pPr>
            <w:r>
              <w:rPr>
                <w:rFonts w:ascii="Times New Roman" w:cs="Times New Roman" w:eastAsia="Times New Roman" w:hAnsi="Times New Roman"/>
                <w:b w:val="false"/>
                <w:bCs w:val="false"/>
                <w:i w:val="false"/>
                <w:iCs w:val="false"/>
                <w:color w:val="1a1a1a"/>
                <w:sz w:val="18"/>
                <w:szCs w:val="18"/>
              </w:rPr>
              <w:t xml:space="preserve">Done</w:t>
            </w:r>
          </w:p>
        </w:tc>
      </w:tr>
      <w:tr>
        <w:tc>
          <w:tcPr>
            <w:tcW w:type="dxa" w:w="520"/>
            <w:shd w:fill="f2f5fa" w:color="auto" w:val="clear"/>
            <w:tcMar>
              <w:top w:type="dxa" w:w="40"/>
              <w:left w:type="dxa" w:w="90"/>
              <w:bottom w:type="dxa" w:w="40"/>
              <w:right w:type="dxa" w:w="90"/>
            </w:tcMar>
            <w:vAlign w:val="center"/>
          </w:tcPr>
          <w:p>
            <w:pPr>
              <w:spacing w:after="0" w:line="240"/>
              <w:jc w:val="left"/>
            </w:pPr>
            <w:r>
              <w:rPr>
                <w:rFonts w:ascii="Times New Roman" w:cs="Times New Roman" w:eastAsia="Times New Roman" w:hAnsi="Times New Roman"/>
                <w:b w:val="false"/>
                <w:bCs w:val="false"/>
                <w:i w:val="false"/>
                <w:iCs w:val="false"/>
                <w:color w:val="1a1a1a"/>
                <w:sz w:val="18"/>
                <w:szCs w:val="18"/>
              </w:rPr>
              <w:t xml:space="preserve">2</w:t>
            </w:r>
          </w:p>
        </w:tc>
        <w:tc>
          <w:tcPr>
            <w:tcW w:type="dxa" w:w="3180"/>
            <w:shd w:fill="f2f5fa" w:color="auto" w:val="clear"/>
            <w:tcMar>
              <w:top w:type="dxa" w:w="40"/>
              <w:left w:type="dxa" w:w="90"/>
              <w:bottom w:type="dxa" w:w="40"/>
              <w:right w:type="dxa" w:w="90"/>
            </w:tcMar>
            <w:vAlign w:val="center"/>
          </w:tcPr>
          <w:p>
            <w:pPr>
              <w:spacing w:after="0" w:line="240"/>
              <w:jc w:val="left"/>
            </w:pPr>
            <w:r>
              <w:rPr>
                <w:rFonts w:ascii="Times New Roman" w:cs="Times New Roman" w:eastAsia="Times New Roman" w:hAnsi="Times New Roman"/>
                <w:b w:val="false"/>
                <w:bCs w:val="false"/>
                <w:i w:val="false"/>
                <w:iCs w:val="false"/>
                <w:color w:val="1a1a1a"/>
                <w:sz w:val="18"/>
                <w:szCs w:val="18"/>
              </w:rPr>
              <w:t xml:space="preserve">Real statistical validation, preserving any non-significant result.</w:t>
            </w:r>
          </w:p>
        </w:tc>
        <w:tc>
          <w:tcPr>
            <w:tcW w:type="dxa" w:w="4620"/>
            <w:shd w:fill="f2f5fa" w:color="auto" w:val="clear"/>
            <w:tcMar>
              <w:top w:type="dxa" w:w="40"/>
              <w:left w:type="dxa" w:w="90"/>
              <w:bottom w:type="dxa" w:w="40"/>
              <w:right w:type="dxa" w:w="90"/>
            </w:tcMar>
            <w:vAlign w:val="center"/>
          </w:tcPr>
          <w:p>
            <w:pPr>
              <w:spacing w:after="0" w:line="240"/>
              <w:jc w:val="left"/>
            </w:pPr>
            <w:r>
              <w:rPr>
                <w:rFonts w:ascii="Times New Roman" w:cs="Times New Roman" w:eastAsia="Times New Roman" w:hAnsi="Times New Roman"/>
                <w:b w:val="false"/>
                <w:bCs w:val="false"/>
                <w:i w:val="false"/>
                <w:iCs w:val="false"/>
                <w:color w:val="1a1a1a"/>
                <w:sz w:val="18"/>
                <w:szCs w:val="18"/>
              </w:rPr>
              <w:t xml:space="preserve">Bootstrap 95% CIs, 5-fold CV, McNemar tests with Holm–Bonferroni, per-class + macro/weighted metrics, and effect sizes (Tables VI–VIII). The non-significant MLP-vs-LR result is retained and foregrounded.</w:t>
            </w:r>
          </w:p>
        </w:tc>
        <w:tc>
          <w:tcPr>
            <w:tcW w:type="dxa" w:w="1040"/>
            <w:shd w:fill="f2f5fa" w:color="auto" w:val="clear"/>
            <w:tcMar>
              <w:top w:type="dxa" w:w="40"/>
              <w:left w:type="dxa" w:w="90"/>
              <w:bottom w:type="dxa" w:w="40"/>
              <w:right w:type="dxa" w:w="90"/>
            </w:tcMar>
            <w:vAlign w:val="center"/>
          </w:tcPr>
          <w:p>
            <w:pPr>
              <w:spacing w:after="0" w:line="240"/>
              <w:jc w:val="left"/>
            </w:pPr>
            <w:r>
              <w:rPr>
                <w:rFonts w:ascii="Times New Roman" w:cs="Times New Roman" w:eastAsia="Times New Roman" w:hAnsi="Times New Roman"/>
                <w:b w:val="false"/>
                <w:bCs w:val="false"/>
                <w:i w:val="false"/>
                <w:iCs w:val="false"/>
                <w:color w:val="1a1a1a"/>
                <w:sz w:val="18"/>
                <w:szCs w:val="18"/>
              </w:rPr>
              <w:t xml:space="preserve">Done</w:t>
            </w:r>
          </w:p>
        </w:tc>
      </w:tr>
      <w:tr>
        <w:tc>
          <w:tcPr>
            <w:tcW w:type="dxa" w:w="520"/>
            <w:tcMar>
              <w:top w:type="dxa" w:w="40"/>
              <w:left w:type="dxa" w:w="90"/>
              <w:bottom w:type="dxa" w:w="40"/>
              <w:right w:type="dxa" w:w="90"/>
            </w:tcMar>
            <w:vAlign w:val="center"/>
          </w:tcPr>
          <w:p>
            <w:pPr>
              <w:spacing w:after="0" w:line="240"/>
              <w:jc w:val="left"/>
            </w:pPr>
            <w:r>
              <w:rPr>
                <w:rFonts w:ascii="Times New Roman" w:cs="Times New Roman" w:eastAsia="Times New Roman" w:hAnsi="Times New Roman"/>
                <w:b w:val="false"/>
                <w:bCs w:val="false"/>
                <w:i w:val="false"/>
                <w:iCs w:val="false"/>
                <w:color w:val="1a1a1a"/>
                <w:sz w:val="18"/>
                <w:szCs w:val="18"/>
              </w:rPr>
              <w:t xml:space="preserve">3</w:t>
            </w:r>
          </w:p>
        </w:tc>
        <w:tc>
          <w:tcPr>
            <w:tcW w:type="dxa" w:w="3180"/>
            <w:tcMar>
              <w:top w:type="dxa" w:w="40"/>
              <w:left w:type="dxa" w:w="90"/>
              <w:bottom w:type="dxa" w:w="40"/>
              <w:right w:type="dxa" w:w="90"/>
            </w:tcMar>
            <w:vAlign w:val="center"/>
          </w:tcPr>
          <w:p>
            <w:pPr>
              <w:spacing w:after="0" w:line="240"/>
              <w:jc w:val="left"/>
            </w:pPr>
            <w:r>
              <w:rPr>
                <w:rFonts w:ascii="Times New Roman" w:cs="Times New Roman" w:eastAsia="Times New Roman" w:hAnsi="Times New Roman"/>
                <w:b w:val="false"/>
                <w:bCs w:val="false"/>
                <w:i w:val="false"/>
                <w:iCs w:val="false"/>
                <w:color w:val="1a1a1a"/>
                <w:sz w:val="18"/>
                <w:szCs w:val="18"/>
              </w:rPr>
              <w:t xml:space="preserve">RQ → objective → evidence mapping with honest status labels.</w:t>
            </w:r>
          </w:p>
        </w:tc>
        <w:tc>
          <w:tcPr>
            <w:tcW w:type="dxa" w:w="4620"/>
            <w:tcMar>
              <w:top w:type="dxa" w:w="40"/>
              <w:left w:type="dxa" w:w="90"/>
              <w:bottom w:type="dxa" w:w="40"/>
              <w:right w:type="dxa" w:w="90"/>
            </w:tcMar>
            <w:vAlign w:val="center"/>
          </w:tcPr>
          <w:p>
            <w:pPr>
              <w:spacing w:after="0" w:line="240"/>
              <w:jc w:val="left"/>
            </w:pPr>
            <w:r>
              <w:rPr>
                <w:rFonts w:ascii="Times New Roman" w:cs="Times New Roman" w:eastAsia="Times New Roman" w:hAnsi="Times New Roman"/>
                <w:b w:val="false"/>
                <w:bCs w:val="false"/>
                <w:i w:val="false"/>
                <w:iCs w:val="false"/>
                <w:color w:val="1a1a1a"/>
                <w:sz w:val="18"/>
                <w:szCs w:val="18"/>
              </w:rPr>
              <w:t xml:space="preserve">Table XI maps RQ1–RQ6 to method and evidence with Supported / Partially supported labels (no automatic “achieved”). Three are only partially supported, by design.</w:t>
            </w:r>
          </w:p>
        </w:tc>
        <w:tc>
          <w:tcPr>
            <w:tcW w:type="dxa" w:w="1040"/>
            <w:tcMar>
              <w:top w:type="dxa" w:w="40"/>
              <w:left w:type="dxa" w:w="90"/>
              <w:bottom w:type="dxa" w:w="40"/>
              <w:right w:type="dxa" w:w="90"/>
            </w:tcMar>
            <w:vAlign w:val="center"/>
          </w:tcPr>
          <w:p>
            <w:pPr>
              <w:spacing w:after="0" w:line="240"/>
              <w:jc w:val="left"/>
            </w:pPr>
            <w:r>
              <w:rPr>
                <w:rFonts w:ascii="Times New Roman" w:cs="Times New Roman" w:eastAsia="Times New Roman" w:hAnsi="Times New Roman"/>
                <w:b w:val="false"/>
                <w:bCs w:val="false"/>
                <w:i w:val="false"/>
                <w:iCs w:val="false"/>
                <w:color w:val="1a1a1a"/>
                <w:sz w:val="18"/>
                <w:szCs w:val="18"/>
              </w:rPr>
              <w:t xml:space="preserve">Done</w:t>
            </w:r>
          </w:p>
        </w:tc>
      </w:tr>
      <w:tr>
        <w:tc>
          <w:tcPr>
            <w:tcW w:type="dxa" w:w="520"/>
            <w:shd w:fill="f2f5fa" w:color="auto" w:val="clear"/>
            <w:tcMar>
              <w:top w:type="dxa" w:w="40"/>
              <w:left w:type="dxa" w:w="90"/>
              <w:bottom w:type="dxa" w:w="40"/>
              <w:right w:type="dxa" w:w="90"/>
            </w:tcMar>
            <w:vAlign w:val="center"/>
          </w:tcPr>
          <w:p>
            <w:pPr>
              <w:spacing w:after="0" w:line="240"/>
              <w:jc w:val="left"/>
            </w:pPr>
            <w:r>
              <w:rPr>
                <w:rFonts w:ascii="Times New Roman" w:cs="Times New Roman" w:eastAsia="Times New Roman" w:hAnsi="Times New Roman"/>
                <w:b w:val="false"/>
                <w:bCs w:val="false"/>
                <w:i w:val="false"/>
                <w:iCs w:val="false"/>
                <w:color w:val="1a1a1a"/>
                <w:sz w:val="18"/>
                <w:szCs w:val="18"/>
              </w:rPr>
              <w:t xml:space="preserve">4</w:t>
            </w:r>
          </w:p>
        </w:tc>
        <w:tc>
          <w:tcPr>
            <w:tcW w:type="dxa" w:w="3180"/>
            <w:shd w:fill="f2f5fa" w:color="auto" w:val="clear"/>
            <w:tcMar>
              <w:top w:type="dxa" w:w="40"/>
              <w:left w:type="dxa" w:w="90"/>
              <w:bottom w:type="dxa" w:w="40"/>
              <w:right w:type="dxa" w:w="90"/>
            </w:tcMar>
            <w:vAlign w:val="center"/>
          </w:tcPr>
          <w:p>
            <w:pPr>
              <w:spacing w:after="0" w:line="240"/>
              <w:jc w:val="left"/>
            </w:pPr>
            <w:r>
              <w:rPr>
                <w:rFonts w:ascii="Times New Roman" w:cs="Times New Roman" w:eastAsia="Times New Roman" w:hAnsi="Times New Roman"/>
                <w:b w:val="false"/>
                <w:bCs w:val="false"/>
                <w:i w:val="false"/>
                <w:iCs w:val="false"/>
                <w:color w:val="1a1a1a"/>
                <w:sz w:val="18"/>
                <w:szCs w:val="18"/>
              </w:rPr>
              <w:t xml:space="preserve">Architecture diagram matching the actual code.</w:t>
            </w:r>
          </w:p>
        </w:tc>
        <w:tc>
          <w:tcPr>
            <w:tcW w:type="dxa" w:w="4620"/>
            <w:shd w:fill="f2f5fa" w:color="auto" w:val="clear"/>
            <w:tcMar>
              <w:top w:type="dxa" w:w="40"/>
              <w:left w:type="dxa" w:w="90"/>
              <w:bottom w:type="dxa" w:w="40"/>
              <w:right w:type="dxa" w:w="90"/>
            </w:tcMar>
            <w:vAlign w:val="center"/>
          </w:tcPr>
          <w:p>
            <w:pPr>
              <w:spacing w:after="0" w:line="240"/>
              <w:jc w:val="left"/>
            </w:pPr>
            <w:r>
              <w:rPr>
                <w:rFonts w:ascii="Times New Roman" w:cs="Times New Roman" w:eastAsia="Times New Roman" w:hAnsi="Times New Roman"/>
                <w:b w:val="false"/>
                <w:bCs w:val="false"/>
                <w:i w:val="false"/>
                <w:iCs w:val="false"/>
                <w:color w:val="1a1a1a"/>
                <w:sz w:val="18"/>
                <w:szCs w:val="18"/>
              </w:rPr>
              <w:t xml:space="preserve">Fig. 1 separates the offline training pipeline from online inference, shows the leakage-aware feature contract (Eq. 5), and routes features exactly as the notebook does (5 raw inputs to the classifier; 3 ratios to clustering).</w:t>
            </w:r>
          </w:p>
        </w:tc>
        <w:tc>
          <w:tcPr>
            <w:tcW w:type="dxa" w:w="1040"/>
            <w:shd w:fill="f2f5fa" w:color="auto" w:val="clear"/>
            <w:tcMar>
              <w:top w:type="dxa" w:w="40"/>
              <w:left w:type="dxa" w:w="90"/>
              <w:bottom w:type="dxa" w:w="40"/>
              <w:right w:type="dxa" w:w="90"/>
            </w:tcMar>
            <w:vAlign w:val="center"/>
          </w:tcPr>
          <w:p>
            <w:pPr>
              <w:spacing w:after="0" w:line="240"/>
              <w:jc w:val="left"/>
            </w:pPr>
            <w:r>
              <w:rPr>
                <w:rFonts w:ascii="Times New Roman" w:cs="Times New Roman" w:eastAsia="Times New Roman" w:hAnsi="Times New Roman"/>
                <w:b w:val="false"/>
                <w:bCs w:val="false"/>
                <w:i w:val="false"/>
                <w:iCs w:val="false"/>
                <w:color w:val="1a1a1a"/>
                <w:sz w:val="18"/>
                <w:szCs w:val="18"/>
              </w:rPr>
              <w:t xml:space="preserve">Done</w:t>
            </w:r>
          </w:p>
        </w:tc>
      </w:tr>
      <w:tr>
        <w:tc>
          <w:tcPr>
            <w:tcW w:type="dxa" w:w="520"/>
            <w:tcMar>
              <w:top w:type="dxa" w:w="40"/>
              <w:left w:type="dxa" w:w="90"/>
              <w:bottom w:type="dxa" w:w="40"/>
              <w:right w:type="dxa" w:w="90"/>
            </w:tcMar>
            <w:vAlign w:val="center"/>
          </w:tcPr>
          <w:p>
            <w:pPr>
              <w:spacing w:after="0" w:line="240"/>
              <w:jc w:val="left"/>
            </w:pPr>
            <w:r>
              <w:rPr>
                <w:rFonts w:ascii="Times New Roman" w:cs="Times New Roman" w:eastAsia="Times New Roman" w:hAnsi="Times New Roman"/>
                <w:b w:val="false"/>
                <w:bCs w:val="false"/>
                <w:i w:val="false"/>
                <w:iCs w:val="false"/>
                <w:color w:val="1a1a1a"/>
                <w:sz w:val="18"/>
                <w:szCs w:val="18"/>
              </w:rPr>
              <w:t xml:space="preserve">—</w:t>
            </w:r>
          </w:p>
        </w:tc>
        <w:tc>
          <w:tcPr>
            <w:tcW w:type="dxa" w:w="3180"/>
            <w:tcMar>
              <w:top w:type="dxa" w:w="40"/>
              <w:left w:type="dxa" w:w="90"/>
              <w:bottom w:type="dxa" w:w="40"/>
              <w:right w:type="dxa" w:w="90"/>
            </w:tcMar>
            <w:vAlign w:val="center"/>
          </w:tcPr>
          <w:p>
            <w:pPr>
              <w:spacing w:after="0" w:line="240"/>
              <w:jc w:val="left"/>
            </w:pPr>
            <w:r>
              <w:rPr>
                <w:rFonts w:ascii="Times New Roman" w:cs="Times New Roman" w:eastAsia="Times New Roman" w:hAnsi="Times New Roman"/>
                <w:b w:val="false"/>
                <w:bCs w:val="false"/>
                <w:i w:val="false"/>
                <w:iCs w:val="false"/>
                <w:color w:val="1a1a1a"/>
                <w:sz w:val="18"/>
                <w:szCs w:val="18"/>
              </w:rPr>
              <w:t xml:space="preserve">Broader rigor: leakage disclosure, guardrail-dominance quantification, ROI correction, reference verification.</w:t>
            </w:r>
          </w:p>
        </w:tc>
        <w:tc>
          <w:tcPr>
            <w:tcW w:type="dxa" w:w="4620"/>
            <w:tcMar>
              <w:top w:type="dxa" w:w="40"/>
              <w:left w:type="dxa" w:w="90"/>
              <w:bottom w:type="dxa" w:w="40"/>
              <w:right w:type="dxa" w:w="90"/>
            </w:tcMar>
            <w:vAlign w:val="center"/>
          </w:tcPr>
          <w:p>
            <w:pPr>
              <w:spacing w:after="0" w:line="240"/>
              <w:jc w:val="left"/>
            </w:pPr>
            <w:r>
              <w:rPr>
                <w:rFonts w:ascii="Times New Roman" w:cs="Times New Roman" w:eastAsia="Times New Roman" w:hAnsi="Times New Roman"/>
                <w:b w:val="false"/>
                <w:bCs w:val="false"/>
                <w:i w:val="false"/>
                <w:iCs w:val="false"/>
                <w:color w:val="1a1a1a"/>
                <w:sz w:val="18"/>
                <w:szCs w:val="18"/>
              </w:rPr>
              <w:t xml:space="preserve">§III-D quantifies residual arithmetic leakage; §IV-F quantifies guardrail dominance; §III-K / Table IX disclose and correct the ROI indexing error; all 22 references were checked for consistency and IEEE formatting.</w:t>
            </w:r>
          </w:p>
        </w:tc>
        <w:tc>
          <w:tcPr>
            <w:tcW w:type="dxa" w:w="1040"/>
            <w:tcMar>
              <w:top w:type="dxa" w:w="40"/>
              <w:left w:type="dxa" w:w="90"/>
              <w:bottom w:type="dxa" w:w="40"/>
              <w:right w:type="dxa" w:w="90"/>
            </w:tcMar>
            <w:vAlign w:val="center"/>
          </w:tcPr>
          <w:p>
            <w:pPr>
              <w:spacing w:after="0" w:line="240"/>
              <w:jc w:val="left"/>
            </w:pPr>
            <w:r>
              <w:rPr>
                <w:rFonts w:ascii="Times New Roman" w:cs="Times New Roman" w:eastAsia="Times New Roman" w:hAnsi="Times New Roman"/>
                <w:b w:val="false"/>
                <w:bCs w:val="false"/>
                <w:i w:val="false"/>
                <w:iCs w:val="false"/>
                <w:color w:val="1a1a1a"/>
                <w:sz w:val="18"/>
                <w:szCs w:val="18"/>
              </w:rPr>
              <w:t xml:space="preserve">Done</w:t>
            </w:r>
          </w:p>
        </w:tc>
      </w:tr>
    </w:tbl>
    <w:p>
      <w:pPr>
        <w:spacing w:after="160" w:before="60"/>
        <w:jc w:val="left"/>
      </w:pPr>
      <w:r>
        <w:rPr>
          <w:rFonts w:ascii="Times New Roman" w:cs="Times New Roman" w:eastAsia="Times New Roman" w:hAnsi="Times New Roman"/>
          <w:b w:val="false"/>
          <w:bCs w:val="false"/>
          <w:i/>
          <w:iCs/>
          <w:color w:val="555555"/>
          <w:sz w:val="17"/>
          <w:szCs w:val="17"/>
        </w:rPr>
        <w:t xml:space="preserve">All five rows reflect changes present in the delivered v2 .docx / .pdf.</w:t>
      </w:r>
    </w:p>
    <w:p>
      <w:r>
        <w:br w:type="page"/>
      </w:r>
    </w:p>
    <w:p>
      <w:pPr>
        <w:keepNext/>
        <w:pBdr>
          <w:bottom w:val="single" w:color="1f3b73" w:sz="6" w:space="4"/>
        </w:pBdr>
        <w:spacing w:after="120" w:before="260"/>
      </w:pPr>
      <w:r>
        <w:rPr>
          <w:rFonts w:ascii="Times New Roman" w:cs="Times New Roman" w:eastAsia="Times New Roman" w:hAnsi="Times New Roman"/>
          <w:b/>
          <w:bCs/>
          <w:i w:val="false"/>
          <w:iCs w:val="false"/>
          <w:color w:val="1f3b73"/>
          <w:sz w:val="26"/>
          <w:szCs w:val="26"/>
        </w:rPr>
        <w:t xml:space="preserve">3.  Metric Provenance</w:t>
      </w:r>
    </w:p>
    <w:p>
      <w:pPr>
        <w:spacing w:after="120" w:before="0" w:line="276"/>
        <w:jc w:val="both"/>
      </w:pPr>
      <w:r>
        <w:rPr>
          <w:rFonts w:ascii="Times New Roman" w:cs="Times New Roman" w:eastAsia="Times New Roman" w:hAnsi="Times New Roman"/>
          <w:b w:val="false"/>
          <w:bCs w:val="false"/>
          <w:i w:val="false"/>
          <w:iCs w:val="false"/>
          <w:color w:val="1a1a1a"/>
          <w:sz w:val="21"/>
          <w:szCs w:val="21"/>
        </w:rPr>
        <w:t xml:space="preserve">Every headline number in the paper maps to a named artifact file and field, or to a value computed directly from one. The core artifacts are: finance_risk_metrics_final.json and model_comparison.csv (model metrics, CV, McNemar, bootstrap CIs), finance_risk_metrics.json (the MLP holdout confusion matrix), cv_validation.csv (cross-validation), and the project notebook finalnb.ipynb (clustering indices, guardrail sweep, and the deterministic simulation). Rounding to the precision shown in the paper is the only transformation applied.</w:t>
      </w:r>
    </w:p>
    <w:tbl>
      <w:tblPr>
        <w:tblW w:type="dxa" w:w="9360"/>
        <w:tblBorders>
          <w:top w:val="single" w:color="888888" w:sz="4"/>
          <w:left w:val="none"/>
          <w:bottom w:val="single" w:color="888888" w:sz="4"/>
          <w:right w:val="none"/>
          <w:insideH w:val="single" w:color="cccccc" w:sz="2"/>
          <w:insideV w:val="none"/>
        </w:tblBorders>
      </w:tblPr>
      <w:tblGrid>
        <w:gridCol w:w="1900"/>
        <w:gridCol w:w="3160"/>
        <w:gridCol w:w="4300"/>
      </w:tblGrid>
      <w:tr>
        <w:trPr>
          <w:tblHeader/>
        </w:trPr>
        <w:tc>
          <w:tcPr>
            <w:tcW w:type="dxa" w:w="1900"/>
            <w:shd w:fill="1f3b73" w:color="auto" w:val="clear"/>
            <w:tcMar>
              <w:top w:type="dxa" w:w="40"/>
              <w:left w:type="dxa" w:w="90"/>
              <w:bottom w:type="dxa" w:w="40"/>
              <w:right w:type="dxa" w:w="90"/>
            </w:tcMar>
            <w:vAlign w:val="center"/>
          </w:tcPr>
          <w:p>
            <w:pPr>
              <w:spacing w:after="0" w:line="240"/>
              <w:jc w:val="left"/>
            </w:pPr>
            <w:r>
              <w:rPr>
                <w:rFonts w:ascii="Times New Roman" w:cs="Times New Roman" w:eastAsia="Times New Roman" w:hAnsi="Times New Roman"/>
                <w:b/>
                <w:bCs/>
                <w:i w:val="false"/>
                <w:iCs w:val="false"/>
                <w:color w:val="ffffff"/>
                <w:sz w:val="18"/>
                <w:szCs w:val="18"/>
              </w:rPr>
              <w:t xml:space="preserve">Paper location</w:t>
            </w:r>
          </w:p>
        </w:tc>
        <w:tc>
          <w:tcPr>
            <w:tcW w:type="dxa" w:w="3160"/>
            <w:shd w:fill="1f3b73" w:color="auto" w:val="clear"/>
            <w:tcMar>
              <w:top w:type="dxa" w:w="40"/>
              <w:left w:type="dxa" w:w="90"/>
              <w:bottom w:type="dxa" w:w="40"/>
              <w:right w:type="dxa" w:w="90"/>
            </w:tcMar>
            <w:vAlign w:val="center"/>
          </w:tcPr>
          <w:p>
            <w:pPr>
              <w:spacing w:after="0" w:line="240"/>
              <w:jc w:val="left"/>
            </w:pPr>
            <w:r>
              <w:rPr>
                <w:rFonts w:ascii="Times New Roman" w:cs="Times New Roman" w:eastAsia="Times New Roman" w:hAnsi="Times New Roman"/>
                <w:b/>
                <w:bCs/>
                <w:i w:val="false"/>
                <w:iCs w:val="false"/>
                <w:color w:val="ffffff"/>
                <w:sz w:val="18"/>
                <w:szCs w:val="18"/>
              </w:rPr>
              <w:t xml:space="preserve">Value(s) as printed</w:t>
            </w:r>
          </w:p>
        </w:tc>
        <w:tc>
          <w:tcPr>
            <w:tcW w:type="dxa" w:w="4300"/>
            <w:shd w:fill="1f3b73" w:color="auto" w:val="clear"/>
            <w:tcMar>
              <w:top w:type="dxa" w:w="40"/>
              <w:left w:type="dxa" w:w="90"/>
              <w:bottom w:type="dxa" w:w="40"/>
              <w:right w:type="dxa" w:w="90"/>
            </w:tcMar>
            <w:vAlign w:val="center"/>
          </w:tcPr>
          <w:p>
            <w:pPr>
              <w:spacing w:after="0" w:line="240"/>
              <w:jc w:val="left"/>
            </w:pPr>
            <w:r>
              <w:rPr>
                <w:rFonts w:ascii="Times New Roman" w:cs="Times New Roman" w:eastAsia="Times New Roman" w:hAnsi="Times New Roman"/>
                <w:b/>
                <w:bCs/>
                <w:i w:val="false"/>
                <w:iCs w:val="false"/>
                <w:color w:val="ffffff"/>
                <w:sz w:val="18"/>
                <w:szCs w:val="18"/>
              </w:rPr>
              <w:t xml:space="preserve">Source artifact → field / derivation</w:t>
            </w:r>
          </w:p>
        </w:tc>
      </w:tr>
      <w:tr>
        <w:tc>
          <w:tcPr>
            <w:tcW w:type="dxa" w:w="1900"/>
            <w:tcMar>
              <w:top w:type="dxa" w:w="40"/>
              <w:left w:type="dxa" w:w="90"/>
              <w:bottom w:type="dxa" w:w="40"/>
              <w:right w:type="dxa" w:w="90"/>
            </w:tcMar>
            <w:vAlign w:val="center"/>
          </w:tcPr>
          <w:p>
            <w:pPr>
              <w:spacing w:after="0" w:line="240"/>
              <w:jc w:val="left"/>
            </w:pPr>
            <w:r>
              <w:rPr>
                <w:rFonts w:ascii="Times New Roman" w:cs="Times New Roman" w:eastAsia="Times New Roman" w:hAnsi="Times New Roman"/>
                <w:b w:val="false"/>
                <w:bCs w:val="false"/>
                <w:i w:val="false"/>
                <w:iCs w:val="false"/>
                <w:color w:val="1a1a1a"/>
                <w:sz w:val="18"/>
                <w:szCs w:val="18"/>
              </w:rPr>
              <w:t xml:space="preserve">Abstract; Table II</w:t>
            </w:r>
          </w:p>
        </w:tc>
        <w:tc>
          <w:tcPr>
            <w:tcW w:type="dxa" w:w="3160"/>
            <w:tcMar>
              <w:top w:type="dxa" w:w="40"/>
              <w:left w:type="dxa" w:w="90"/>
              <w:bottom w:type="dxa" w:w="40"/>
              <w:right w:type="dxa" w:w="90"/>
            </w:tcMar>
            <w:vAlign w:val="center"/>
          </w:tcPr>
          <w:p>
            <w:pPr>
              <w:spacing w:after="0" w:line="240"/>
              <w:jc w:val="left"/>
            </w:pPr>
            <w:r>
              <w:rPr>
                <w:rFonts w:ascii="Times New Roman" w:cs="Times New Roman" w:eastAsia="Times New Roman" w:hAnsi="Times New Roman"/>
                <w:b w:val="false"/>
                <w:bCs w:val="false"/>
                <w:i w:val="false"/>
                <w:iCs w:val="false"/>
                <w:color w:val="1a1a1a"/>
                <w:sz w:val="18"/>
                <w:szCs w:val="18"/>
              </w:rPr>
              <w:t xml:space="preserve">3,000 records; 944 unique users (~95.8% repeat)</w:t>
            </w:r>
          </w:p>
        </w:tc>
        <w:tc>
          <w:tcPr>
            <w:tcW w:type="dxa" w:w="4300"/>
            <w:tcMar>
              <w:top w:type="dxa" w:w="40"/>
              <w:left w:type="dxa" w:w="90"/>
              <w:bottom w:type="dxa" w:w="40"/>
              <w:right w:type="dxa" w:w="90"/>
            </w:tcMar>
            <w:vAlign w:val="center"/>
          </w:tcPr>
          <w:p>
            <w:pPr>
              <w:spacing w:after="0" w:line="240"/>
              <w:jc w:val="left"/>
            </w:pPr>
            <w:r>
              <w:rPr>
                <w:rFonts w:ascii="Consolas" w:cs="Consolas" w:eastAsia="Consolas" w:hAnsi="Consolas"/>
                <w:b w:val="false"/>
                <w:bCs w:val="false"/>
                <w:i w:val="false"/>
                <w:iCs w:val="false"/>
                <w:color w:val="1a1a1a"/>
                <w:sz w:val="17"/>
                <w:szCs w:val="17"/>
              </w:rPr>
              <w:t xml:space="preserve">classification_dataset_with_risk_labels.csv</w:t>
            </w:r>
            <w:r>
              <w:rPr>
                <w:rFonts w:ascii="Times New Roman" w:cs="Times New Roman" w:eastAsia="Times New Roman" w:hAnsi="Times New Roman"/>
                <w:b w:val="false"/>
                <w:bCs w:val="false"/>
                <w:i w:val="false"/>
                <w:iCs w:val="false"/>
                <w:color w:val="1a1a1a"/>
                <w:sz w:val="18"/>
                <w:szCs w:val="18"/>
              </w:rPr>
              <w:t xml:space="preserve"> — row count vs. unique user_id count.</w:t>
            </w:r>
          </w:p>
        </w:tc>
      </w:tr>
      <w:tr>
        <w:tc>
          <w:tcPr>
            <w:tcW w:type="dxa" w:w="1900"/>
            <w:shd w:fill="f2f5fa" w:color="auto" w:val="clear"/>
            <w:tcMar>
              <w:top w:type="dxa" w:w="40"/>
              <w:left w:type="dxa" w:w="90"/>
              <w:bottom w:type="dxa" w:w="40"/>
              <w:right w:type="dxa" w:w="90"/>
            </w:tcMar>
            <w:vAlign w:val="center"/>
          </w:tcPr>
          <w:p>
            <w:pPr>
              <w:spacing w:after="0" w:line="240"/>
              <w:jc w:val="left"/>
            </w:pPr>
            <w:r>
              <w:rPr>
                <w:rFonts w:ascii="Times New Roman" w:cs="Times New Roman" w:eastAsia="Times New Roman" w:hAnsi="Times New Roman"/>
                <w:b w:val="false"/>
                <w:bCs w:val="false"/>
                <w:i w:val="false"/>
                <w:iCs w:val="false"/>
                <w:color w:val="1a1a1a"/>
                <w:sz w:val="18"/>
                <w:szCs w:val="18"/>
              </w:rPr>
              <w:t xml:space="preserve">§IV-B; Table V</w:t>
            </w:r>
          </w:p>
        </w:tc>
        <w:tc>
          <w:tcPr>
            <w:tcW w:type="dxa" w:w="3160"/>
            <w:shd w:fill="f2f5fa" w:color="auto" w:val="clear"/>
            <w:tcMar>
              <w:top w:type="dxa" w:w="40"/>
              <w:left w:type="dxa" w:w="90"/>
              <w:bottom w:type="dxa" w:w="40"/>
              <w:right w:type="dxa" w:w="90"/>
            </w:tcMar>
            <w:vAlign w:val="center"/>
          </w:tcPr>
          <w:p>
            <w:pPr>
              <w:spacing w:after="0" w:line="240"/>
              <w:jc w:val="left"/>
            </w:pPr>
            <w:r>
              <w:rPr>
                <w:rFonts w:ascii="Times New Roman" w:cs="Times New Roman" w:eastAsia="Times New Roman" w:hAnsi="Times New Roman"/>
                <w:b w:val="false"/>
                <w:bCs w:val="false"/>
                <w:i w:val="false"/>
                <w:iCs w:val="false"/>
                <w:color w:val="1a1a1a"/>
                <w:sz w:val="18"/>
                <w:szCs w:val="18"/>
              </w:rPr>
              <w:t xml:space="preserve">Silhouette 0.370</w:t>
            </w:r>
          </w:p>
        </w:tc>
        <w:tc>
          <w:tcPr>
            <w:tcW w:type="dxa" w:w="4300"/>
            <w:shd w:fill="f2f5fa" w:color="auto" w:val="clear"/>
            <w:tcMar>
              <w:top w:type="dxa" w:w="40"/>
              <w:left w:type="dxa" w:w="90"/>
              <w:bottom w:type="dxa" w:w="40"/>
              <w:right w:type="dxa" w:w="90"/>
            </w:tcMar>
            <w:vAlign w:val="center"/>
          </w:tcPr>
          <w:p>
            <w:pPr>
              <w:spacing w:after="0" w:line="240"/>
              <w:jc w:val="left"/>
            </w:pPr>
            <w:r>
              <w:rPr>
                <w:rFonts w:ascii="Consolas" w:cs="Consolas" w:eastAsia="Consolas" w:hAnsi="Consolas"/>
                <w:b w:val="false"/>
                <w:bCs w:val="false"/>
                <w:i w:val="false"/>
                <w:iCs w:val="false"/>
                <w:color w:val="1a1a1a"/>
                <w:sz w:val="17"/>
                <w:szCs w:val="17"/>
              </w:rPr>
              <w:t xml:space="preserve">finance_risk_metrics_final.json</w:t>
            </w:r>
            <w:r>
              <w:rPr>
                <w:rFonts w:ascii="Times New Roman" w:cs="Times New Roman" w:eastAsia="Times New Roman" w:hAnsi="Times New Roman"/>
                <w:b w:val="false"/>
                <w:bCs w:val="false"/>
                <w:i w:val="false"/>
                <w:iCs w:val="false"/>
                <w:color w:val="1a1a1a"/>
                <w:sz w:val="18"/>
                <w:szCs w:val="18"/>
              </w:rPr>
              <w:t xml:space="preserve"> → cluster_silhouette_full = 0.37020.</w:t>
            </w:r>
          </w:p>
        </w:tc>
      </w:tr>
      <w:tr>
        <w:tc>
          <w:tcPr>
            <w:tcW w:type="dxa" w:w="1900"/>
            <w:tcMar>
              <w:top w:type="dxa" w:w="40"/>
              <w:left w:type="dxa" w:w="90"/>
              <w:bottom w:type="dxa" w:w="40"/>
              <w:right w:type="dxa" w:w="90"/>
            </w:tcMar>
            <w:vAlign w:val="center"/>
          </w:tcPr>
          <w:p>
            <w:pPr>
              <w:spacing w:after="0" w:line="240"/>
              <w:jc w:val="left"/>
            </w:pPr>
            <w:r>
              <w:rPr>
                <w:rFonts w:ascii="Times New Roman" w:cs="Times New Roman" w:eastAsia="Times New Roman" w:hAnsi="Times New Roman"/>
                <w:b w:val="false"/>
                <w:bCs w:val="false"/>
                <w:i w:val="false"/>
                <w:iCs w:val="false"/>
                <w:color w:val="1a1a1a"/>
                <w:sz w:val="18"/>
                <w:szCs w:val="18"/>
              </w:rPr>
              <w:t xml:space="preserve">§IV-B</w:t>
            </w:r>
          </w:p>
        </w:tc>
        <w:tc>
          <w:tcPr>
            <w:tcW w:type="dxa" w:w="3160"/>
            <w:tcMar>
              <w:top w:type="dxa" w:w="40"/>
              <w:left w:type="dxa" w:w="90"/>
              <w:bottom w:type="dxa" w:w="40"/>
              <w:right w:type="dxa" w:w="90"/>
            </w:tcMar>
            <w:vAlign w:val="center"/>
          </w:tcPr>
          <w:p>
            <w:pPr>
              <w:spacing w:after="0" w:line="240"/>
              <w:jc w:val="left"/>
            </w:pPr>
            <w:r>
              <w:rPr>
                <w:rFonts w:ascii="Times New Roman" w:cs="Times New Roman" w:eastAsia="Times New Roman" w:hAnsi="Times New Roman"/>
                <w:b w:val="false"/>
                <w:bCs w:val="false"/>
                <w:i w:val="false"/>
                <w:iCs w:val="false"/>
                <w:color w:val="1a1a1a"/>
                <w:sz w:val="18"/>
                <w:szCs w:val="18"/>
              </w:rPr>
              <w:t xml:space="preserve">Calinski–Harabasz 2158.37; Davies–Bouldin 0.925; ARI 0.868 ± 0.064</w:t>
            </w:r>
          </w:p>
        </w:tc>
        <w:tc>
          <w:tcPr>
            <w:tcW w:type="dxa" w:w="4300"/>
            <w:tcMar>
              <w:top w:type="dxa" w:w="40"/>
              <w:left w:type="dxa" w:w="90"/>
              <w:bottom w:type="dxa" w:w="40"/>
              <w:right w:type="dxa" w:w="90"/>
            </w:tcMar>
            <w:vAlign w:val="center"/>
          </w:tcPr>
          <w:p>
            <w:pPr>
              <w:spacing w:after="0" w:line="240"/>
              <w:jc w:val="left"/>
            </w:pPr>
            <w:r>
              <w:rPr>
                <w:rFonts w:ascii="Times New Roman" w:cs="Times New Roman" w:eastAsia="Times New Roman" w:hAnsi="Times New Roman"/>
                <w:b w:val="false"/>
                <w:bCs w:val="false"/>
                <w:i w:val="false"/>
                <w:iCs w:val="false"/>
                <w:color w:val="1a1a1a"/>
                <w:sz w:val="18"/>
                <w:szCs w:val="18"/>
              </w:rPr>
              <w:t xml:space="preserve">finalnb.ipynb clustering-evaluation cell (CH, DB) and resampling-stability cell (ARI mean ± std).</w:t>
            </w:r>
          </w:p>
        </w:tc>
      </w:tr>
      <w:tr>
        <w:tc>
          <w:tcPr>
            <w:tcW w:type="dxa" w:w="1900"/>
            <w:shd w:fill="f2f5fa" w:color="auto" w:val="clear"/>
            <w:tcMar>
              <w:top w:type="dxa" w:w="40"/>
              <w:left w:type="dxa" w:w="90"/>
              <w:bottom w:type="dxa" w:w="40"/>
              <w:right w:type="dxa" w:w="90"/>
            </w:tcMar>
            <w:vAlign w:val="center"/>
          </w:tcPr>
          <w:p>
            <w:pPr>
              <w:spacing w:after="0" w:line="240"/>
              <w:jc w:val="left"/>
            </w:pPr>
            <w:r>
              <w:rPr>
                <w:rFonts w:ascii="Times New Roman" w:cs="Times New Roman" w:eastAsia="Times New Roman" w:hAnsi="Times New Roman"/>
                <w:b w:val="false"/>
                <w:bCs w:val="false"/>
                <w:i w:val="false"/>
                <w:iCs w:val="false"/>
                <w:color w:val="1a1a1a"/>
                <w:sz w:val="18"/>
                <w:szCs w:val="18"/>
              </w:rPr>
              <w:t xml:space="preserve">Abstract; §IV-C; Table VII</w:t>
            </w:r>
          </w:p>
        </w:tc>
        <w:tc>
          <w:tcPr>
            <w:tcW w:type="dxa" w:w="3160"/>
            <w:shd w:fill="f2f5fa" w:color="auto" w:val="clear"/>
            <w:tcMar>
              <w:top w:type="dxa" w:w="40"/>
              <w:left w:type="dxa" w:w="90"/>
              <w:bottom w:type="dxa" w:w="40"/>
              <w:right w:type="dxa" w:w="90"/>
            </w:tcMar>
            <w:vAlign w:val="center"/>
          </w:tcPr>
          <w:p>
            <w:pPr>
              <w:spacing w:after="0" w:line="240"/>
              <w:jc w:val="left"/>
            </w:pPr>
            <w:r>
              <w:rPr>
                <w:rFonts w:ascii="Times New Roman" w:cs="Times New Roman" w:eastAsia="Times New Roman" w:hAnsi="Times New Roman"/>
                <w:b w:val="false"/>
                <w:bCs w:val="false"/>
                <w:i w:val="false"/>
                <w:iCs w:val="false"/>
                <w:color w:val="1a1a1a"/>
                <w:sz w:val="18"/>
                <w:szCs w:val="18"/>
              </w:rPr>
              <w:t xml:space="preserve">Accuracy 0.910; macro-F1 0.881</w:t>
            </w:r>
          </w:p>
        </w:tc>
        <w:tc>
          <w:tcPr>
            <w:tcW w:type="dxa" w:w="4300"/>
            <w:shd w:fill="f2f5fa" w:color="auto" w:val="clear"/>
            <w:tcMar>
              <w:top w:type="dxa" w:w="40"/>
              <w:left w:type="dxa" w:w="90"/>
              <w:bottom w:type="dxa" w:w="40"/>
              <w:right w:type="dxa" w:w="90"/>
            </w:tcMar>
            <w:vAlign w:val="center"/>
          </w:tcPr>
          <w:p>
            <w:pPr>
              <w:spacing w:after="0" w:line="240"/>
              <w:jc w:val="left"/>
            </w:pPr>
            <w:r>
              <w:rPr>
                <w:rFonts w:ascii="Consolas" w:cs="Consolas" w:eastAsia="Consolas" w:hAnsi="Consolas"/>
                <w:b w:val="false"/>
                <w:bCs w:val="false"/>
                <w:i w:val="false"/>
                <w:iCs w:val="false"/>
                <w:color w:val="1a1a1a"/>
                <w:sz w:val="17"/>
                <w:szCs w:val="17"/>
              </w:rPr>
              <w:t xml:space="preserve">...metrics_final.json</w:t>
            </w:r>
            <w:r>
              <w:rPr>
                <w:rFonts w:ascii="Times New Roman" w:cs="Times New Roman" w:eastAsia="Times New Roman" w:hAnsi="Times New Roman"/>
                <w:b w:val="false"/>
                <w:bCs w:val="false"/>
                <w:i w:val="false"/>
                <w:iCs w:val="false"/>
                <w:color w:val="1a1a1a"/>
                <w:sz w:val="18"/>
                <w:szCs w:val="18"/>
              </w:rPr>
              <w:t xml:space="preserve"> → holdout_test_accuracy 0.91, holdout_test_f1_macro 0.880765.</w:t>
            </w:r>
          </w:p>
        </w:tc>
      </w:tr>
      <w:tr>
        <w:tc>
          <w:tcPr>
            <w:tcW w:type="dxa" w:w="1900"/>
            <w:tcMar>
              <w:top w:type="dxa" w:w="40"/>
              <w:left w:type="dxa" w:w="90"/>
              <w:bottom w:type="dxa" w:w="40"/>
              <w:right w:type="dxa" w:w="90"/>
            </w:tcMar>
            <w:vAlign w:val="center"/>
          </w:tcPr>
          <w:p>
            <w:pPr>
              <w:spacing w:after="0" w:line="240"/>
              <w:jc w:val="left"/>
            </w:pPr>
            <w:r>
              <w:rPr>
                <w:rFonts w:ascii="Times New Roman" w:cs="Times New Roman" w:eastAsia="Times New Roman" w:hAnsi="Times New Roman"/>
                <w:b w:val="false"/>
                <w:bCs w:val="false"/>
                <w:i w:val="false"/>
                <w:iCs w:val="false"/>
                <w:color w:val="1a1a1a"/>
                <w:sz w:val="18"/>
                <w:szCs w:val="18"/>
              </w:rPr>
              <w:t xml:space="preserve">Table VI (per-class)</w:t>
            </w:r>
          </w:p>
        </w:tc>
        <w:tc>
          <w:tcPr>
            <w:tcW w:type="dxa" w:w="3160"/>
            <w:tcMar>
              <w:top w:type="dxa" w:w="40"/>
              <w:left w:type="dxa" w:w="90"/>
              <w:bottom w:type="dxa" w:w="40"/>
              <w:right w:type="dxa" w:w="90"/>
            </w:tcMar>
            <w:vAlign w:val="center"/>
          </w:tcPr>
          <w:p>
            <w:pPr>
              <w:spacing w:after="0" w:line="240"/>
              <w:jc w:val="left"/>
            </w:pPr>
            <w:r>
              <w:rPr>
                <w:rFonts w:ascii="Times New Roman" w:cs="Times New Roman" w:eastAsia="Times New Roman" w:hAnsi="Times New Roman"/>
                <w:b w:val="false"/>
                <w:bCs w:val="false"/>
                <w:i w:val="false"/>
                <w:iCs w:val="false"/>
                <w:color w:val="1a1a1a"/>
                <w:sz w:val="18"/>
                <w:szCs w:val="18"/>
              </w:rPr>
              <w:t xml:space="preserve">Low .922/.971/.946; Med .935/.878/.906; High .761/.823/.791</w:t>
            </w:r>
          </w:p>
        </w:tc>
        <w:tc>
          <w:tcPr>
            <w:tcW w:type="dxa" w:w="4300"/>
            <w:tcMar>
              <w:top w:type="dxa" w:w="40"/>
              <w:left w:type="dxa" w:w="90"/>
              <w:bottom w:type="dxa" w:w="40"/>
              <w:right w:type="dxa" w:w="90"/>
            </w:tcMar>
            <w:vAlign w:val="center"/>
          </w:tcPr>
          <w:p>
            <w:pPr>
              <w:spacing w:after="0" w:line="240"/>
              <w:jc w:val="left"/>
            </w:pPr>
            <w:r>
              <w:rPr>
                <w:rFonts w:ascii="Times New Roman" w:cs="Times New Roman" w:eastAsia="Times New Roman" w:hAnsi="Times New Roman"/>
                <w:b w:val="false"/>
                <w:bCs w:val="false"/>
                <w:i w:val="false"/>
                <w:iCs w:val="false"/>
                <w:color w:val="1a1a1a"/>
                <w:sz w:val="18"/>
                <w:szCs w:val="18"/>
              </w:rPr>
              <w:t xml:space="preserve">Computed from MLP confusion matrix in </w:t>
            </w:r>
            <w:r>
              <w:rPr>
                <w:rFonts w:ascii="Consolas" w:cs="Consolas" w:eastAsia="Consolas" w:hAnsi="Consolas"/>
                <w:b w:val="false"/>
                <w:bCs w:val="false"/>
                <w:i w:val="false"/>
                <w:iCs w:val="false"/>
                <w:color w:val="1a1a1a"/>
                <w:sz w:val="17"/>
                <w:szCs w:val="17"/>
              </w:rPr>
              <w:t xml:space="preserve">finance_risk_metrics.json</w:t>
            </w:r>
            <w:r>
              <w:rPr>
                <w:rFonts w:ascii="Times New Roman" w:cs="Times New Roman" w:eastAsia="Times New Roman" w:hAnsi="Times New Roman"/>
                <w:b w:val="false"/>
                <w:bCs w:val="false"/>
                <w:i w:val="false"/>
                <w:iCs w:val="false"/>
                <w:color w:val="1a1a1a"/>
                <w:sz w:val="18"/>
                <w:szCs w:val="18"/>
              </w:rPr>
              <w:t xml:space="preserve"> holdout_confusion_matrix [[235,7,0],[20,260,16],[0,11,51]]; accuracy = 546/600.</w:t>
            </w:r>
          </w:p>
        </w:tc>
      </w:tr>
      <w:tr>
        <w:tc>
          <w:tcPr>
            <w:tcW w:type="dxa" w:w="1900"/>
            <w:shd w:fill="f2f5fa" w:color="auto" w:val="clear"/>
            <w:tcMar>
              <w:top w:type="dxa" w:w="40"/>
              <w:left w:type="dxa" w:w="90"/>
              <w:bottom w:type="dxa" w:w="40"/>
              <w:right w:type="dxa" w:w="90"/>
            </w:tcMar>
            <w:vAlign w:val="center"/>
          </w:tcPr>
          <w:p>
            <w:pPr>
              <w:spacing w:after="0" w:line="240"/>
              <w:jc w:val="left"/>
            </w:pPr>
            <w:r>
              <w:rPr>
                <w:rFonts w:ascii="Times New Roman" w:cs="Times New Roman" w:eastAsia="Times New Roman" w:hAnsi="Times New Roman"/>
                <w:b w:val="false"/>
                <w:bCs w:val="false"/>
                <w:i w:val="false"/>
                <w:iCs w:val="false"/>
                <w:color w:val="1a1a1a"/>
                <w:sz w:val="18"/>
                <w:szCs w:val="18"/>
              </w:rPr>
              <w:t xml:space="preserve">Fig. 4 (4 matrices)</w:t>
            </w:r>
          </w:p>
        </w:tc>
        <w:tc>
          <w:tcPr>
            <w:tcW w:type="dxa" w:w="3160"/>
            <w:shd w:fill="f2f5fa" w:color="auto" w:val="clear"/>
            <w:tcMar>
              <w:top w:type="dxa" w:w="40"/>
              <w:left w:type="dxa" w:w="90"/>
              <w:bottom w:type="dxa" w:w="40"/>
              <w:right w:type="dxa" w:w="90"/>
            </w:tcMar>
            <w:vAlign w:val="center"/>
          </w:tcPr>
          <w:p>
            <w:pPr>
              <w:spacing w:after="0" w:line="240"/>
              <w:jc w:val="left"/>
            </w:pPr>
            <w:r>
              <w:rPr>
                <w:rFonts w:ascii="Times New Roman" w:cs="Times New Roman" w:eastAsia="Times New Roman" w:hAnsi="Times New Roman"/>
                <w:b w:val="false"/>
                <w:bCs w:val="false"/>
                <w:i w:val="false"/>
                <w:iCs w:val="false"/>
                <w:color w:val="1a1a1a"/>
                <w:sz w:val="18"/>
                <w:szCs w:val="18"/>
              </w:rPr>
              <w:t xml:space="preserve">MLP/LR/RF/DT confusion matrices</w:t>
            </w:r>
          </w:p>
        </w:tc>
        <w:tc>
          <w:tcPr>
            <w:tcW w:type="dxa" w:w="4300"/>
            <w:shd w:fill="f2f5fa" w:color="auto" w:val="clear"/>
            <w:tcMar>
              <w:top w:type="dxa" w:w="40"/>
              <w:left w:type="dxa" w:w="90"/>
              <w:bottom w:type="dxa" w:w="40"/>
              <w:right w:type="dxa" w:w="90"/>
            </w:tcMar>
            <w:vAlign w:val="center"/>
          </w:tcPr>
          <w:p>
            <w:pPr>
              <w:spacing w:after="0" w:line="240"/>
              <w:jc w:val="left"/>
            </w:pPr>
            <w:r>
              <w:rPr>
                <w:rFonts w:ascii="Times New Roman" w:cs="Times New Roman" w:eastAsia="Times New Roman" w:hAnsi="Times New Roman"/>
                <w:b w:val="false"/>
                <w:bCs w:val="false"/>
                <w:i w:val="false"/>
                <w:iCs w:val="false"/>
                <w:color w:val="1a1a1a"/>
                <w:sz w:val="18"/>
                <w:szCs w:val="18"/>
              </w:rPr>
              <w:t xml:space="preserve">Per-model holdout predictions from the saved bundle; MLP panel equals the JSON matrix. Cells reproduce the accuracy/macro-F1 of Table VII exactly.</w:t>
            </w:r>
          </w:p>
        </w:tc>
      </w:tr>
      <w:tr>
        <w:tc>
          <w:tcPr>
            <w:tcW w:type="dxa" w:w="1900"/>
            <w:tcMar>
              <w:top w:type="dxa" w:w="40"/>
              <w:left w:type="dxa" w:w="90"/>
              <w:bottom w:type="dxa" w:w="40"/>
              <w:right w:type="dxa" w:w="90"/>
            </w:tcMar>
            <w:vAlign w:val="center"/>
          </w:tcPr>
          <w:p>
            <w:pPr>
              <w:spacing w:after="0" w:line="240"/>
              <w:jc w:val="left"/>
            </w:pPr>
            <w:r>
              <w:rPr>
                <w:rFonts w:ascii="Times New Roman" w:cs="Times New Roman" w:eastAsia="Times New Roman" w:hAnsi="Times New Roman"/>
                <w:b w:val="false"/>
                <w:bCs w:val="false"/>
                <w:i w:val="false"/>
                <w:iCs w:val="false"/>
                <w:color w:val="1a1a1a"/>
                <w:sz w:val="18"/>
                <w:szCs w:val="18"/>
              </w:rPr>
              <w:t xml:space="preserve">Table VII</w:t>
            </w:r>
          </w:p>
        </w:tc>
        <w:tc>
          <w:tcPr>
            <w:tcW w:type="dxa" w:w="3160"/>
            <w:tcMar>
              <w:top w:type="dxa" w:w="40"/>
              <w:left w:type="dxa" w:w="90"/>
              <w:bottom w:type="dxa" w:w="40"/>
              <w:right w:type="dxa" w:w="90"/>
            </w:tcMar>
            <w:vAlign w:val="center"/>
          </w:tcPr>
          <w:p>
            <w:pPr>
              <w:spacing w:after="0" w:line="240"/>
              <w:jc w:val="left"/>
            </w:pPr>
            <w:r>
              <w:rPr>
                <w:rFonts w:ascii="Times New Roman" w:cs="Times New Roman" w:eastAsia="Times New Roman" w:hAnsi="Times New Roman"/>
                <w:b w:val="false"/>
                <w:bCs w:val="false"/>
                <w:i w:val="false"/>
                <w:iCs w:val="false"/>
                <w:color w:val="1a1a1a"/>
                <w:sz w:val="18"/>
                <w:szCs w:val="18"/>
              </w:rPr>
              <w:t xml:space="preserve">MLP .910/.881/.9859/.9514; LR .892/.864/.9861/.9520; RF; DT</w:t>
            </w:r>
          </w:p>
        </w:tc>
        <w:tc>
          <w:tcPr>
            <w:tcW w:type="dxa" w:w="4300"/>
            <w:tcMar>
              <w:top w:type="dxa" w:w="40"/>
              <w:left w:type="dxa" w:w="90"/>
              <w:bottom w:type="dxa" w:w="40"/>
              <w:right w:type="dxa" w:w="90"/>
            </w:tcMar>
            <w:vAlign w:val="center"/>
          </w:tcPr>
          <w:p>
            <w:pPr>
              <w:spacing w:after="0" w:line="240"/>
              <w:jc w:val="left"/>
            </w:pPr>
            <w:r>
              <w:rPr>
                <w:rFonts w:ascii="Consolas" w:cs="Consolas" w:eastAsia="Consolas" w:hAnsi="Consolas"/>
                <w:b w:val="false"/>
                <w:bCs w:val="false"/>
                <w:i w:val="false"/>
                <w:iCs w:val="false"/>
                <w:color w:val="1a1a1a"/>
                <w:sz w:val="17"/>
                <w:szCs w:val="17"/>
              </w:rPr>
              <w:t xml:space="preserve">model_comparison.csv</w:t>
            </w:r>
            <w:r>
              <w:rPr>
                <w:rFonts w:ascii="Times New Roman" w:cs="Times New Roman" w:eastAsia="Times New Roman" w:hAnsi="Times New Roman"/>
                <w:b w:val="false"/>
                <w:bCs w:val="false"/>
                <w:i w:val="false"/>
                <w:iCs w:val="false"/>
                <w:color w:val="1a1a1a"/>
                <w:sz w:val="18"/>
                <w:szCs w:val="18"/>
              </w:rPr>
              <w:t xml:space="preserve"> (test_accuracy, test_macro_f1, roc_auc_ovr_macro, pr_auc_macro).</w:t>
            </w:r>
          </w:p>
        </w:tc>
      </w:tr>
      <w:tr>
        <w:tc>
          <w:tcPr>
            <w:tcW w:type="dxa" w:w="1900"/>
            <w:shd w:fill="f2f5fa" w:color="auto" w:val="clear"/>
            <w:tcMar>
              <w:top w:type="dxa" w:w="40"/>
              <w:left w:type="dxa" w:w="90"/>
              <w:bottom w:type="dxa" w:w="40"/>
              <w:right w:type="dxa" w:w="90"/>
            </w:tcMar>
            <w:vAlign w:val="center"/>
          </w:tcPr>
          <w:p>
            <w:pPr>
              <w:spacing w:after="0" w:line="240"/>
              <w:jc w:val="left"/>
            </w:pPr>
            <w:r>
              <w:rPr>
                <w:rFonts w:ascii="Times New Roman" w:cs="Times New Roman" w:eastAsia="Times New Roman" w:hAnsi="Times New Roman"/>
                <w:b w:val="false"/>
                <w:bCs w:val="false"/>
                <w:i w:val="false"/>
                <w:iCs w:val="false"/>
                <w:color w:val="1a1a1a"/>
                <w:sz w:val="18"/>
                <w:szCs w:val="18"/>
              </w:rPr>
              <w:t xml:space="preserve">Table VIII (McNemar)</w:t>
            </w:r>
          </w:p>
        </w:tc>
        <w:tc>
          <w:tcPr>
            <w:tcW w:type="dxa" w:w="3160"/>
            <w:shd w:fill="f2f5fa" w:color="auto" w:val="clear"/>
            <w:tcMar>
              <w:top w:type="dxa" w:w="40"/>
              <w:left w:type="dxa" w:w="90"/>
              <w:bottom w:type="dxa" w:w="40"/>
              <w:right w:type="dxa" w:w="90"/>
            </w:tcMar>
            <w:vAlign w:val="center"/>
          </w:tcPr>
          <w:p>
            <w:pPr>
              <w:spacing w:after="0" w:line="240"/>
              <w:jc w:val="left"/>
            </w:pPr>
            <w:r>
              <w:rPr>
                <w:rFonts w:ascii="Times New Roman" w:cs="Times New Roman" w:eastAsia="Times New Roman" w:hAnsi="Times New Roman"/>
                <w:b w:val="false"/>
                <w:bCs w:val="false"/>
                <w:i w:val="false"/>
                <w:iCs w:val="false"/>
                <w:color w:val="1a1a1a"/>
                <w:sz w:val="18"/>
                <w:szCs w:val="18"/>
              </w:rPr>
              <w:t xml:space="preserve">vs LR χ²2.70 (24/13) p=.100; vs RF χ²1.83 (22/13) p=.176; vs DT χ²48.67 (82/13) p&lt;.001</w:t>
            </w:r>
          </w:p>
        </w:tc>
        <w:tc>
          <w:tcPr>
            <w:tcW w:type="dxa" w:w="4300"/>
            <w:shd w:fill="f2f5fa" w:color="auto" w:val="clear"/>
            <w:tcMar>
              <w:top w:type="dxa" w:w="40"/>
              <w:left w:type="dxa" w:w="90"/>
              <w:bottom w:type="dxa" w:w="40"/>
              <w:right w:type="dxa" w:w="90"/>
            </w:tcMar>
            <w:vAlign w:val="center"/>
          </w:tcPr>
          <w:p>
            <w:pPr>
              <w:spacing w:after="0" w:line="240"/>
              <w:jc w:val="left"/>
            </w:pPr>
            <w:r>
              <w:rPr>
                <w:rFonts w:ascii="Consolas" w:cs="Consolas" w:eastAsia="Consolas" w:hAnsi="Consolas"/>
                <w:b w:val="false"/>
                <w:bCs w:val="false"/>
                <w:i w:val="false"/>
                <w:iCs w:val="false"/>
                <w:color w:val="1a1a1a"/>
                <w:sz w:val="17"/>
                <w:szCs w:val="17"/>
              </w:rPr>
              <w:t xml:space="preserve">...metrics_final.json</w:t>
            </w:r>
            <w:r>
              <w:rPr>
                <w:rFonts w:ascii="Times New Roman" w:cs="Times New Roman" w:eastAsia="Times New Roman" w:hAnsi="Times New Roman"/>
                <w:b w:val="false"/>
                <w:bCs w:val="false"/>
                <w:i w:val="false"/>
                <w:iCs w:val="false"/>
                <w:color w:val="1a1a1a"/>
                <w:sz w:val="18"/>
                <w:szCs w:val="18"/>
              </w:rPr>
              <w:t xml:space="preserve"> → mcnemar_checks (chi2, discordant counts, approx_p_value).</w:t>
            </w:r>
          </w:p>
        </w:tc>
      </w:tr>
      <w:tr>
        <w:tc>
          <w:tcPr>
            <w:tcW w:type="dxa" w:w="1900"/>
            <w:tcMar>
              <w:top w:type="dxa" w:w="40"/>
              <w:left w:type="dxa" w:w="90"/>
              <w:bottom w:type="dxa" w:w="40"/>
              <w:right w:type="dxa" w:w="90"/>
            </w:tcMar>
            <w:vAlign w:val="center"/>
          </w:tcPr>
          <w:p>
            <w:pPr>
              <w:spacing w:after="0" w:line="240"/>
              <w:jc w:val="left"/>
            </w:pPr>
            <w:r>
              <w:rPr>
                <w:rFonts w:ascii="Times New Roman" w:cs="Times New Roman" w:eastAsia="Times New Roman" w:hAnsi="Times New Roman"/>
                <w:b w:val="false"/>
                <w:bCs w:val="false"/>
                <w:i w:val="false"/>
                <w:iCs w:val="false"/>
                <w:color w:val="1a1a1a"/>
                <w:sz w:val="18"/>
                <w:szCs w:val="18"/>
              </w:rPr>
              <w:t xml:space="preserve">§IV-C, §IV-E</w:t>
            </w:r>
          </w:p>
        </w:tc>
        <w:tc>
          <w:tcPr>
            <w:tcW w:type="dxa" w:w="3160"/>
            <w:tcMar>
              <w:top w:type="dxa" w:w="40"/>
              <w:left w:type="dxa" w:w="90"/>
              <w:bottom w:type="dxa" w:w="40"/>
              <w:right w:type="dxa" w:w="90"/>
            </w:tcMar>
            <w:vAlign w:val="center"/>
          </w:tcPr>
          <w:p>
            <w:pPr>
              <w:spacing w:after="0" w:line="240"/>
              <w:jc w:val="left"/>
            </w:pPr>
            <w:r>
              <w:rPr>
                <w:rFonts w:ascii="Times New Roman" w:cs="Times New Roman" w:eastAsia="Times New Roman" w:hAnsi="Times New Roman"/>
                <w:b w:val="false"/>
                <w:bCs w:val="false"/>
                <w:i w:val="false"/>
                <w:iCs w:val="false"/>
                <w:color w:val="1a1a1a"/>
                <w:sz w:val="18"/>
                <w:szCs w:val="18"/>
              </w:rPr>
              <w:t xml:space="preserve">Bootstrap 95% CI: acc [0.888, 0.933]; macro-F1 [0.847, 0.912]</w:t>
            </w:r>
          </w:p>
        </w:tc>
        <w:tc>
          <w:tcPr>
            <w:tcW w:type="dxa" w:w="4300"/>
            <w:tcMar>
              <w:top w:type="dxa" w:w="40"/>
              <w:left w:type="dxa" w:w="90"/>
              <w:bottom w:type="dxa" w:w="40"/>
              <w:right w:type="dxa" w:w="90"/>
            </w:tcMar>
            <w:vAlign w:val="center"/>
          </w:tcPr>
          <w:p>
            <w:pPr>
              <w:spacing w:after="0" w:line="240"/>
              <w:jc w:val="left"/>
            </w:pPr>
            <w:r>
              <w:rPr>
                <w:rFonts w:ascii="Consolas" w:cs="Consolas" w:eastAsia="Consolas" w:hAnsi="Consolas"/>
                <w:b w:val="false"/>
                <w:bCs w:val="false"/>
                <w:i w:val="false"/>
                <w:iCs w:val="false"/>
                <w:color w:val="1a1a1a"/>
                <w:sz w:val="17"/>
                <w:szCs w:val="17"/>
              </w:rPr>
              <w:t xml:space="preserve">...metrics_final.json</w:t>
            </w:r>
            <w:r>
              <w:rPr>
                <w:rFonts w:ascii="Times New Roman" w:cs="Times New Roman" w:eastAsia="Times New Roman" w:hAnsi="Times New Roman"/>
                <w:b w:val="false"/>
                <w:bCs w:val="false"/>
                <w:i w:val="false"/>
                <w:iCs w:val="false"/>
                <w:color w:val="1a1a1a"/>
                <w:sz w:val="18"/>
                <w:szCs w:val="18"/>
              </w:rPr>
              <w:t xml:space="preserve"> → selected_model_accuracy_ci_95, selected_model_macro_f1_ci_95.</w:t>
            </w:r>
          </w:p>
        </w:tc>
      </w:tr>
      <w:tr>
        <w:tc>
          <w:tcPr>
            <w:tcW w:type="dxa" w:w="1900"/>
            <w:shd w:fill="f2f5fa" w:color="auto" w:val="clear"/>
            <w:tcMar>
              <w:top w:type="dxa" w:w="40"/>
              <w:left w:type="dxa" w:w="90"/>
              <w:bottom w:type="dxa" w:w="40"/>
              <w:right w:type="dxa" w:w="90"/>
            </w:tcMar>
            <w:vAlign w:val="center"/>
          </w:tcPr>
          <w:p>
            <w:pPr>
              <w:spacing w:after="0" w:line="240"/>
              <w:jc w:val="left"/>
            </w:pPr>
            <w:r>
              <w:rPr>
                <w:rFonts w:ascii="Times New Roman" w:cs="Times New Roman" w:eastAsia="Times New Roman" w:hAnsi="Times New Roman"/>
                <w:b w:val="false"/>
                <w:bCs w:val="false"/>
                <w:i w:val="false"/>
                <w:iCs w:val="false"/>
                <w:color w:val="1a1a1a"/>
                <w:sz w:val="18"/>
                <w:szCs w:val="18"/>
              </w:rPr>
              <w:t xml:space="preserve">§IV-C, §IV-E</w:t>
            </w:r>
          </w:p>
        </w:tc>
        <w:tc>
          <w:tcPr>
            <w:tcW w:type="dxa" w:w="3160"/>
            <w:shd w:fill="f2f5fa" w:color="auto" w:val="clear"/>
            <w:tcMar>
              <w:top w:type="dxa" w:w="40"/>
              <w:left w:type="dxa" w:w="90"/>
              <w:bottom w:type="dxa" w:w="40"/>
              <w:right w:type="dxa" w:w="90"/>
            </w:tcMar>
            <w:vAlign w:val="center"/>
          </w:tcPr>
          <w:p>
            <w:pPr>
              <w:spacing w:after="0" w:line="240"/>
              <w:jc w:val="left"/>
            </w:pPr>
            <w:r>
              <w:rPr>
                <w:rFonts w:ascii="Times New Roman" w:cs="Times New Roman" w:eastAsia="Times New Roman" w:hAnsi="Times New Roman"/>
                <w:b w:val="false"/>
                <w:bCs w:val="false"/>
                <w:i w:val="false"/>
                <w:iCs w:val="false"/>
                <w:color w:val="1a1a1a"/>
                <w:sz w:val="18"/>
                <w:szCs w:val="18"/>
              </w:rPr>
              <w:t xml:space="preserve">5-fold CV: acc 0.912 ± 0.009; macro-F1 0.867 ± 0.018</w:t>
            </w:r>
          </w:p>
        </w:tc>
        <w:tc>
          <w:tcPr>
            <w:tcW w:type="dxa" w:w="4300"/>
            <w:shd w:fill="f2f5fa" w:color="auto" w:val="clear"/>
            <w:tcMar>
              <w:top w:type="dxa" w:w="40"/>
              <w:left w:type="dxa" w:w="90"/>
              <w:bottom w:type="dxa" w:w="40"/>
              <w:right w:type="dxa" w:w="90"/>
            </w:tcMar>
            <w:vAlign w:val="center"/>
          </w:tcPr>
          <w:p>
            <w:pPr>
              <w:spacing w:after="0" w:line="240"/>
              <w:jc w:val="left"/>
            </w:pPr>
            <w:r>
              <w:rPr>
                <w:rFonts w:ascii="Consolas" w:cs="Consolas" w:eastAsia="Consolas" w:hAnsi="Consolas"/>
                <w:b w:val="false"/>
                <w:bCs w:val="false"/>
                <w:i w:val="false"/>
                <w:iCs w:val="false"/>
                <w:color w:val="1a1a1a"/>
                <w:sz w:val="17"/>
                <w:szCs w:val="17"/>
              </w:rPr>
              <w:t xml:space="preserve">cv_validation.csv</w:t>
            </w:r>
            <w:r>
              <w:rPr>
                <w:rFonts w:ascii="Times New Roman" w:cs="Times New Roman" w:eastAsia="Times New Roman" w:hAnsi="Times New Roman"/>
                <w:b w:val="false"/>
                <w:bCs w:val="false"/>
                <w:i w:val="false"/>
                <w:iCs w:val="false"/>
                <w:color w:val="1a1a1a"/>
                <w:sz w:val="18"/>
                <w:szCs w:val="18"/>
              </w:rPr>
              <w:t xml:space="preserve"> — MLP cv_accuracy 0.912333 ± 0.009226, cv_macro_f1 0.866533 ± 0.017966.</w:t>
            </w:r>
          </w:p>
        </w:tc>
      </w:tr>
      <w:tr>
        <w:tc>
          <w:tcPr>
            <w:tcW w:type="dxa" w:w="1900"/>
            <w:tcMar>
              <w:top w:type="dxa" w:w="40"/>
              <w:left w:type="dxa" w:w="90"/>
              <w:bottom w:type="dxa" w:w="40"/>
              <w:right w:type="dxa" w:w="90"/>
            </w:tcMar>
            <w:vAlign w:val="center"/>
          </w:tcPr>
          <w:p>
            <w:pPr>
              <w:spacing w:after="0" w:line="240"/>
              <w:jc w:val="left"/>
            </w:pPr>
            <w:r>
              <w:rPr>
                <w:rFonts w:ascii="Times New Roman" w:cs="Times New Roman" w:eastAsia="Times New Roman" w:hAnsi="Times New Roman"/>
                <w:b w:val="false"/>
                <w:bCs w:val="false"/>
                <w:i w:val="false"/>
                <w:iCs w:val="false"/>
                <w:color w:val="1a1a1a"/>
                <w:sz w:val="18"/>
                <w:szCs w:val="18"/>
              </w:rPr>
              <w:t xml:space="preserve">Table VIII text</w:t>
            </w:r>
          </w:p>
        </w:tc>
        <w:tc>
          <w:tcPr>
            <w:tcW w:type="dxa" w:w="3160"/>
            <w:tcMar>
              <w:top w:type="dxa" w:w="40"/>
              <w:left w:type="dxa" w:w="90"/>
              <w:bottom w:type="dxa" w:w="40"/>
              <w:right w:type="dxa" w:w="90"/>
            </w:tcMar>
            <w:vAlign w:val="center"/>
          </w:tcPr>
          <w:p>
            <w:pPr>
              <w:spacing w:after="0" w:line="240"/>
              <w:jc w:val="left"/>
            </w:pPr>
            <w:r>
              <w:rPr>
                <w:rFonts w:ascii="Times New Roman" w:cs="Times New Roman" w:eastAsia="Times New Roman" w:hAnsi="Times New Roman"/>
                <w:b w:val="false"/>
                <w:bCs w:val="false"/>
                <w:i w:val="false"/>
                <w:iCs w:val="false"/>
                <w:color w:val="1a1a1a"/>
                <w:sz w:val="18"/>
                <w:szCs w:val="18"/>
              </w:rPr>
              <w:t xml:space="preserve">Odds ratios 1.85, 1.69, 6.31</w:t>
            </w:r>
          </w:p>
        </w:tc>
        <w:tc>
          <w:tcPr>
            <w:tcW w:type="dxa" w:w="4300"/>
            <w:tcMar>
              <w:top w:type="dxa" w:w="40"/>
              <w:left w:type="dxa" w:w="90"/>
              <w:bottom w:type="dxa" w:w="40"/>
              <w:right w:type="dxa" w:w="90"/>
            </w:tcMar>
            <w:vAlign w:val="center"/>
          </w:tcPr>
          <w:p>
            <w:pPr>
              <w:spacing w:after="0" w:line="240"/>
              <w:jc w:val="left"/>
            </w:pPr>
            <w:r>
              <w:rPr>
                <w:rFonts w:ascii="Times New Roman" w:cs="Times New Roman" w:eastAsia="Times New Roman" w:hAnsi="Times New Roman"/>
                <w:b w:val="false"/>
                <w:bCs w:val="false"/>
                <w:i w:val="false"/>
                <w:iCs w:val="false"/>
                <w:color w:val="1a1a1a"/>
                <w:sz w:val="18"/>
                <w:szCs w:val="18"/>
              </w:rPr>
              <w:t xml:space="preserve">Derived from the discordant-pair counts (b/c): 24/13, 22/13, 82/13.</w:t>
            </w:r>
          </w:p>
        </w:tc>
      </w:tr>
      <w:tr>
        <w:tc>
          <w:tcPr>
            <w:tcW w:type="dxa" w:w="1900"/>
            <w:shd w:fill="f2f5fa" w:color="auto" w:val="clear"/>
            <w:tcMar>
              <w:top w:type="dxa" w:w="40"/>
              <w:left w:type="dxa" w:w="90"/>
              <w:bottom w:type="dxa" w:w="40"/>
              <w:right w:type="dxa" w:w="90"/>
            </w:tcMar>
            <w:vAlign w:val="center"/>
          </w:tcPr>
          <w:p>
            <w:pPr>
              <w:spacing w:after="0" w:line="240"/>
              <w:jc w:val="left"/>
            </w:pPr>
            <w:r>
              <w:rPr>
                <w:rFonts w:ascii="Times New Roman" w:cs="Times New Roman" w:eastAsia="Times New Roman" w:hAnsi="Times New Roman"/>
                <w:b w:val="false"/>
                <w:bCs w:val="false"/>
                <w:i w:val="false"/>
                <w:iCs w:val="false"/>
                <w:color w:val="1a1a1a"/>
                <w:sz w:val="18"/>
                <w:szCs w:val="18"/>
              </w:rPr>
              <w:t xml:space="preserve">§IV-F; Fig. 7</w:t>
            </w:r>
          </w:p>
        </w:tc>
        <w:tc>
          <w:tcPr>
            <w:tcW w:type="dxa" w:w="3160"/>
            <w:shd w:fill="f2f5fa" w:color="auto" w:val="clear"/>
            <w:tcMar>
              <w:top w:type="dxa" w:w="40"/>
              <w:left w:type="dxa" w:w="90"/>
              <w:bottom w:type="dxa" w:w="40"/>
              <w:right w:type="dxa" w:w="90"/>
            </w:tcMar>
            <w:vAlign w:val="center"/>
          </w:tcPr>
          <w:p>
            <w:pPr>
              <w:spacing w:after="0" w:line="240"/>
              <w:jc w:val="left"/>
            </w:pPr>
            <w:r>
              <w:rPr>
                <w:rFonts w:ascii="Times New Roman" w:cs="Times New Roman" w:eastAsia="Times New Roman" w:hAnsi="Times New Roman"/>
                <w:b w:val="false"/>
                <w:bCs w:val="false"/>
                <w:i w:val="false"/>
                <w:iCs w:val="false"/>
                <w:color w:val="1a1a1a"/>
                <w:sz w:val="18"/>
                <w:szCs w:val="18"/>
              </w:rPr>
              <w:t xml:space="preserve">Guardrail: Low 5.87% / Med 33.53% / High 60.60%; ≥cluster 100%; strictly&gt; 84.13%; model-can-change 0.00 / 5.87 / 39.40%</w:t>
            </w:r>
          </w:p>
        </w:tc>
        <w:tc>
          <w:tcPr>
            <w:tcW w:type="dxa" w:w="4300"/>
            <w:shd w:fill="f2f5fa" w:color="auto" w:val="clear"/>
            <w:tcMar>
              <w:top w:type="dxa" w:w="40"/>
              <w:left w:type="dxa" w:w="90"/>
              <w:bottom w:type="dxa" w:w="40"/>
              <w:right w:type="dxa" w:w="90"/>
            </w:tcMar>
            <w:vAlign w:val="center"/>
          </w:tcPr>
          <w:p>
            <w:pPr>
              <w:spacing w:after="0" w:line="240"/>
              <w:jc w:val="left"/>
            </w:pPr>
            <w:r>
              <w:rPr>
                <w:rFonts w:ascii="Times New Roman" w:cs="Times New Roman" w:eastAsia="Times New Roman" w:hAnsi="Times New Roman"/>
                <w:b w:val="false"/>
                <w:bCs w:val="false"/>
                <w:i w:val="false"/>
                <w:iCs w:val="false"/>
                <w:color w:val="1a1a1a"/>
                <w:sz w:val="18"/>
                <w:szCs w:val="18"/>
              </w:rPr>
              <w:t xml:space="preserve">finalnb.ipynb guardrail-analysis cell: Eq. 13 rule + reconciliation applied across the labeled dataset.</w:t>
            </w:r>
          </w:p>
        </w:tc>
      </w:tr>
      <w:tr>
        <w:tc>
          <w:tcPr>
            <w:tcW w:type="dxa" w:w="1900"/>
            <w:tcMar>
              <w:top w:type="dxa" w:w="40"/>
              <w:left w:type="dxa" w:w="90"/>
              <w:bottom w:type="dxa" w:w="40"/>
              <w:right w:type="dxa" w:w="90"/>
            </w:tcMar>
            <w:vAlign w:val="center"/>
          </w:tcPr>
          <w:p>
            <w:pPr>
              <w:spacing w:after="0" w:line="240"/>
              <w:jc w:val="left"/>
            </w:pPr>
            <w:r>
              <w:rPr>
                <w:rFonts w:ascii="Times New Roman" w:cs="Times New Roman" w:eastAsia="Times New Roman" w:hAnsi="Times New Roman"/>
                <w:b w:val="false"/>
                <w:bCs w:val="false"/>
                <w:i w:val="false"/>
                <w:iCs w:val="false"/>
                <w:color w:val="1a1a1a"/>
                <w:sz w:val="18"/>
                <w:szCs w:val="18"/>
              </w:rPr>
              <w:t xml:space="preserve">Table IX; Fig. 8</w:t>
            </w:r>
          </w:p>
        </w:tc>
        <w:tc>
          <w:tcPr>
            <w:tcW w:type="dxa" w:w="3160"/>
            <w:tcMar>
              <w:top w:type="dxa" w:w="40"/>
              <w:left w:type="dxa" w:w="90"/>
              <w:bottom w:type="dxa" w:w="40"/>
              <w:right w:type="dxa" w:w="90"/>
            </w:tcMar>
            <w:vAlign w:val="center"/>
          </w:tcPr>
          <w:p>
            <w:pPr>
              <w:spacing w:after="0" w:line="240"/>
              <w:jc w:val="left"/>
            </w:pPr>
            <w:r>
              <w:rPr>
                <w:rFonts w:ascii="Times New Roman" w:cs="Times New Roman" w:eastAsia="Times New Roman" w:hAnsi="Times New Roman"/>
                <w:b w:val="false"/>
                <w:bCs w:val="false"/>
                <w:i w:val="false"/>
                <w:iCs w:val="false"/>
                <w:color w:val="1a1a1a"/>
                <w:sz w:val="18"/>
                <w:szCs w:val="18"/>
              </w:rPr>
              <w:t xml:space="preserve">Corrected ROI 25.72 / 15.40 / 2.43%; original 20.18 / 12.34 / 2.22%; drawdowns −3.79 / −2.08 / 0.00%</w:t>
            </w:r>
          </w:p>
        </w:tc>
        <w:tc>
          <w:tcPr>
            <w:tcW w:type="dxa" w:w="4300"/>
            <w:tcMar>
              <w:top w:type="dxa" w:w="40"/>
              <w:left w:type="dxa" w:w="90"/>
              <w:bottom w:type="dxa" w:w="40"/>
              <w:right w:type="dxa" w:w="90"/>
            </w:tcMar>
            <w:vAlign w:val="center"/>
          </w:tcPr>
          <w:p>
            <w:pPr>
              <w:spacing w:after="0" w:line="240"/>
              <w:jc w:val="left"/>
            </w:pPr>
            <w:r>
              <w:rPr>
                <w:rFonts w:ascii="Times New Roman" w:cs="Times New Roman" w:eastAsia="Times New Roman" w:hAnsi="Times New Roman"/>
                <w:b w:val="false"/>
                <w:bCs w:val="false"/>
                <w:i w:val="false"/>
                <w:iCs w:val="false"/>
                <w:color w:val="1a1a1a"/>
                <w:sz w:val="18"/>
                <w:szCs w:val="18"/>
              </w:rPr>
              <w:t xml:space="preserve">finalnb.ipynb deterministic 12-month simulation; corrected value divides by initial capital (Eq. 18), original by month-1 (the off-by-one).</w:t>
            </w:r>
          </w:p>
        </w:tc>
      </w:tr>
    </w:tbl>
    <w:p>
      <w:pPr>
        <w:spacing w:after="160" w:before="60"/>
        <w:jc w:val="left"/>
      </w:pPr>
      <w:r>
        <w:rPr>
          <w:rFonts w:ascii="Times New Roman" w:cs="Times New Roman" w:eastAsia="Times New Roman" w:hAnsi="Times New Roman"/>
          <w:b w:val="false"/>
          <w:bCs w:val="false"/>
          <w:i/>
          <w:iCs/>
          <w:color w:val="555555"/>
          <w:sz w:val="17"/>
          <w:szCs w:val="17"/>
        </w:rPr>
        <w:t xml:space="preserve">File names abbreviated with “…” share the finance_risk_metrics_final.json prefix. No value in the paper lacks a row here.</w:t>
      </w:r>
    </w:p>
    <w:p>
      <w:r>
        <w:br w:type="page"/>
      </w:r>
    </w:p>
    <w:p>
      <w:pPr>
        <w:keepNext/>
        <w:pBdr>
          <w:bottom w:val="single" w:color="1f3b73" w:sz="6" w:space="4"/>
        </w:pBdr>
        <w:spacing w:after="120" w:before="260"/>
      </w:pPr>
      <w:r>
        <w:rPr>
          <w:rFonts w:ascii="Times New Roman" w:cs="Times New Roman" w:eastAsia="Times New Roman" w:hAnsi="Times New Roman"/>
          <w:b/>
          <w:bCs/>
          <w:i w:val="false"/>
          <w:iCs w:val="false"/>
          <w:color w:val="1f3b73"/>
          <w:sz w:val="26"/>
          <w:szCs w:val="26"/>
        </w:rPr>
        <w:t xml:space="preserve">4.  Figure Inventory and One Deliberate Exclusion</w:t>
      </w:r>
    </w:p>
    <w:p>
      <w:pPr>
        <w:spacing w:after="120" w:before="0" w:line="276"/>
        <w:jc w:val="both"/>
      </w:pPr>
      <w:r>
        <w:rPr>
          <w:rFonts w:ascii="Times New Roman" w:cs="Times New Roman" w:eastAsia="Times New Roman" w:hAnsi="Times New Roman"/>
          <w:b w:val="false"/>
          <w:bCs w:val="false"/>
          <w:i w:val="false"/>
          <w:iCs w:val="false"/>
          <w:color w:val="1a1a1a"/>
          <w:sz w:val="21"/>
          <w:szCs w:val="21"/>
        </w:rPr>
        <w:t xml:space="preserve">Eight figures are included. Figs. 1 and 4 were rebuilt for this revision (architecture and all-model confusion matrices); the remainder are the project's own vetted outputs, reused unchanged or regenerated from verified counts. Each figure's numbers were checked against the artifacts in Section 3.</w:t>
      </w:r>
    </w:p>
    <w:tbl>
      <w:tblPr>
        <w:tblW w:type="dxa" w:w="9360"/>
        <w:tblBorders>
          <w:top w:val="single" w:color="888888" w:sz="4"/>
          <w:left w:val="none"/>
          <w:bottom w:val="single" w:color="888888" w:sz="4"/>
          <w:right w:val="none"/>
          <w:insideH w:val="single" w:color="cccccc" w:sz="2"/>
          <w:insideV w:val="none"/>
        </w:tblBorders>
      </w:tblPr>
      <w:tblGrid>
        <w:gridCol w:w="620"/>
        <w:gridCol w:w="4180"/>
        <w:gridCol w:w="4560"/>
      </w:tblGrid>
      <w:tr>
        <w:trPr>
          <w:tblHeader/>
        </w:trPr>
        <w:tc>
          <w:tcPr>
            <w:tcW w:type="dxa" w:w="620"/>
            <w:shd w:fill="1f3b73" w:color="auto" w:val="clear"/>
            <w:tcMar>
              <w:top w:type="dxa" w:w="40"/>
              <w:left w:type="dxa" w:w="90"/>
              <w:bottom w:type="dxa" w:w="40"/>
              <w:right w:type="dxa" w:w="90"/>
            </w:tcMar>
            <w:vAlign w:val="center"/>
          </w:tcPr>
          <w:p>
            <w:pPr>
              <w:spacing w:after="0" w:line="240"/>
              <w:jc w:val="left"/>
            </w:pPr>
            <w:r>
              <w:rPr>
                <w:rFonts w:ascii="Times New Roman" w:cs="Times New Roman" w:eastAsia="Times New Roman" w:hAnsi="Times New Roman"/>
                <w:b/>
                <w:bCs/>
                <w:i w:val="false"/>
                <w:iCs w:val="false"/>
                <w:color w:val="ffffff"/>
                <w:sz w:val="18"/>
                <w:szCs w:val="18"/>
              </w:rPr>
              <w:t xml:space="preserve">Fig.</w:t>
            </w:r>
          </w:p>
        </w:tc>
        <w:tc>
          <w:tcPr>
            <w:tcW w:type="dxa" w:w="4180"/>
            <w:shd w:fill="1f3b73" w:color="auto" w:val="clear"/>
            <w:tcMar>
              <w:top w:type="dxa" w:w="40"/>
              <w:left w:type="dxa" w:w="90"/>
              <w:bottom w:type="dxa" w:w="40"/>
              <w:right w:type="dxa" w:w="90"/>
            </w:tcMar>
            <w:vAlign w:val="center"/>
          </w:tcPr>
          <w:p>
            <w:pPr>
              <w:spacing w:after="0" w:line="240"/>
              <w:jc w:val="left"/>
            </w:pPr>
            <w:r>
              <w:rPr>
                <w:rFonts w:ascii="Times New Roman" w:cs="Times New Roman" w:eastAsia="Times New Roman" w:hAnsi="Times New Roman"/>
                <w:b/>
                <w:bCs/>
                <w:i w:val="false"/>
                <w:iCs w:val="false"/>
                <w:color w:val="ffffff"/>
                <w:sz w:val="18"/>
                <w:szCs w:val="18"/>
              </w:rPr>
              <w:t xml:space="preserve">Content</w:t>
            </w:r>
          </w:p>
        </w:tc>
        <w:tc>
          <w:tcPr>
            <w:tcW w:type="dxa" w:w="4560"/>
            <w:shd w:fill="1f3b73" w:color="auto" w:val="clear"/>
            <w:tcMar>
              <w:top w:type="dxa" w:w="40"/>
              <w:left w:type="dxa" w:w="90"/>
              <w:bottom w:type="dxa" w:w="40"/>
              <w:right w:type="dxa" w:w="90"/>
            </w:tcMar>
            <w:vAlign w:val="center"/>
          </w:tcPr>
          <w:p>
            <w:pPr>
              <w:spacing w:after="0" w:line="240"/>
              <w:jc w:val="left"/>
            </w:pPr>
            <w:r>
              <w:rPr>
                <w:rFonts w:ascii="Times New Roman" w:cs="Times New Roman" w:eastAsia="Times New Roman" w:hAnsi="Times New Roman"/>
                <w:b/>
                <w:bCs/>
                <w:i w:val="false"/>
                <w:iCs w:val="false"/>
                <w:color w:val="ffffff"/>
                <w:sz w:val="18"/>
                <w:szCs w:val="18"/>
              </w:rPr>
              <w:t xml:space="preserve">Provenance / check</w:t>
            </w:r>
          </w:p>
        </w:tc>
      </w:tr>
      <w:tr>
        <w:tc>
          <w:tcPr>
            <w:tcW w:type="dxa" w:w="620"/>
            <w:tcMar>
              <w:top w:type="dxa" w:w="40"/>
              <w:left w:type="dxa" w:w="90"/>
              <w:bottom w:type="dxa" w:w="40"/>
              <w:right w:type="dxa" w:w="90"/>
            </w:tcMar>
            <w:vAlign w:val="center"/>
          </w:tcPr>
          <w:p>
            <w:pPr>
              <w:spacing w:after="0" w:line="240"/>
              <w:jc w:val="left"/>
            </w:pPr>
            <w:r>
              <w:rPr>
                <w:rFonts w:ascii="Times New Roman" w:cs="Times New Roman" w:eastAsia="Times New Roman" w:hAnsi="Times New Roman"/>
                <w:b w:val="false"/>
                <w:bCs w:val="false"/>
                <w:i w:val="false"/>
                <w:iCs w:val="false"/>
                <w:color w:val="1a1a1a"/>
                <w:sz w:val="18"/>
                <w:szCs w:val="18"/>
              </w:rPr>
              <w:t xml:space="preserve">1</w:t>
            </w:r>
          </w:p>
        </w:tc>
        <w:tc>
          <w:tcPr>
            <w:tcW w:type="dxa" w:w="4180"/>
            <w:tcMar>
              <w:top w:type="dxa" w:w="40"/>
              <w:left w:type="dxa" w:w="90"/>
              <w:bottom w:type="dxa" w:w="40"/>
              <w:right w:type="dxa" w:w="90"/>
            </w:tcMar>
            <w:vAlign w:val="center"/>
          </w:tcPr>
          <w:p>
            <w:pPr>
              <w:spacing w:after="0" w:line="240"/>
              <w:jc w:val="left"/>
            </w:pPr>
            <w:r>
              <w:rPr>
                <w:rFonts w:ascii="Times New Roman" w:cs="Times New Roman" w:eastAsia="Times New Roman" w:hAnsi="Times New Roman"/>
                <w:b w:val="false"/>
                <w:bCs w:val="false"/>
                <w:i w:val="false"/>
                <w:iCs w:val="false"/>
                <w:color w:val="1a1a1a"/>
                <w:sz w:val="18"/>
                <w:szCs w:val="18"/>
              </w:rPr>
              <w:t xml:space="preserve">End-to-end architecture (training vs. inference)</w:t>
            </w:r>
          </w:p>
        </w:tc>
        <w:tc>
          <w:tcPr>
            <w:tcW w:type="dxa" w:w="4560"/>
            <w:tcMar>
              <w:top w:type="dxa" w:w="40"/>
              <w:left w:type="dxa" w:w="90"/>
              <w:bottom w:type="dxa" w:w="40"/>
              <w:right w:type="dxa" w:w="90"/>
            </w:tcMar>
            <w:vAlign w:val="center"/>
          </w:tcPr>
          <w:p>
            <w:pPr>
              <w:spacing w:after="0" w:line="240"/>
              <w:jc w:val="left"/>
            </w:pPr>
            <w:r>
              <w:rPr>
                <w:rFonts w:ascii="Times New Roman" w:cs="Times New Roman" w:eastAsia="Times New Roman" w:hAnsi="Times New Roman"/>
                <w:b w:val="false"/>
                <w:bCs w:val="false"/>
                <w:i w:val="false"/>
                <w:iCs w:val="false"/>
                <w:color w:val="1a1a1a"/>
                <w:sz w:val="18"/>
                <w:szCs w:val="18"/>
              </w:rPr>
              <w:t xml:space="preserve">Rebuilt to match finalnb.ipynb feature routing and the Eq. 5 contract.</w:t>
            </w:r>
          </w:p>
        </w:tc>
      </w:tr>
      <w:tr>
        <w:tc>
          <w:tcPr>
            <w:tcW w:type="dxa" w:w="620"/>
            <w:shd w:fill="f2f5fa" w:color="auto" w:val="clear"/>
            <w:tcMar>
              <w:top w:type="dxa" w:w="40"/>
              <w:left w:type="dxa" w:w="90"/>
              <w:bottom w:type="dxa" w:w="40"/>
              <w:right w:type="dxa" w:w="90"/>
            </w:tcMar>
            <w:vAlign w:val="center"/>
          </w:tcPr>
          <w:p>
            <w:pPr>
              <w:spacing w:after="0" w:line="240"/>
              <w:jc w:val="left"/>
            </w:pPr>
            <w:r>
              <w:rPr>
                <w:rFonts w:ascii="Times New Roman" w:cs="Times New Roman" w:eastAsia="Times New Roman" w:hAnsi="Times New Roman"/>
                <w:b w:val="false"/>
                <w:bCs w:val="false"/>
                <w:i w:val="false"/>
                <w:iCs w:val="false"/>
                <w:color w:val="1a1a1a"/>
                <w:sz w:val="18"/>
                <w:szCs w:val="18"/>
              </w:rPr>
              <w:t xml:space="preserve">2</w:t>
            </w:r>
          </w:p>
        </w:tc>
        <w:tc>
          <w:tcPr>
            <w:tcW w:type="dxa" w:w="4180"/>
            <w:shd w:fill="f2f5fa" w:color="auto" w:val="clear"/>
            <w:tcMar>
              <w:top w:type="dxa" w:w="40"/>
              <w:left w:type="dxa" w:w="90"/>
              <w:bottom w:type="dxa" w:w="40"/>
              <w:right w:type="dxa" w:w="90"/>
            </w:tcMar>
            <w:vAlign w:val="center"/>
          </w:tcPr>
          <w:p>
            <w:pPr>
              <w:spacing w:after="0" w:line="240"/>
              <w:jc w:val="left"/>
            </w:pPr>
            <w:r>
              <w:rPr>
                <w:rFonts w:ascii="Times New Roman" w:cs="Times New Roman" w:eastAsia="Times New Roman" w:hAnsi="Times New Roman"/>
                <w:b w:val="false"/>
                <w:bCs w:val="false"/>
                <w:i w:val="false"/>
                <w:iCs w:val="false"/>
                <w:color w:val="1a1a1a"/>
                <w:sz w:val="18"/>
                <w:szCs w:val="18"/>
              </w:rPr>
              <w:t xml:space="preserve">Correlation heatmap of engineered quantities</w:t>
            </w:r>
          </w:p>
        </w:tc>
        <w:tc>
          <w:tcPr>
            <w:tcW w:type="dxa" w:w="4560"/>
            <w:shd w:fill="f2f5fa" w:color="auto" w:val="clear"/>
            <w:tcMar>
              <w:top w:type="dxa" w:w="40"/>
              <w:left w:type="dxa" w:w="90"/>
              <w:bottom w:type="dxa" w:w="40"/>
              <w:right w:type="dxa" w:w="90"/>
            </w:tcMar>
            <w:vAlign w:val="center"/>
          </w:tcPr>
          <w:p>
            <w:pPr>
              <w:spacing w:after="0" w:line="240"/>
              <w:jc w:val="left"/>
            </w:pPr>
            <w:r>
              <w:rPr>
                <w:rFonts w:ascii="Times New Roman" w:cs="Times New Roman" w:eastAsia="Times New Roman" w:hAnsi="Times New Roman"/>
                <w:b w:val="false"/>
                <w:bCs w:val="false"/>
                <w:i w:val="false"/>
                <w:iCs w:val="false"/>
                <w:color w:val="1a1a1a"/>
                <w:sz w:val="18"/>
                <w:szCs w:val="18"/>
              </w:rPr>
              <w:t xml:space="preserve">Project figure; surplus↔expense −0.89, income↔surplus 0.81 (shared algebra).</w:t>
            </w:r>
          </w:p>
        </w:tc>
      </w:tr>
      <w:tr>
        <w:tc>
          <w:tcPr>
            <w:tcW w:type="dxa" w:w="620"/>
            <w:tcMar>
              <w:top w:type="dxa" w:w="40"/>
              <w:left w:type="dxa" w:w="90"/>
              <w:bottom w:type="dxa" w:w="40"/>
              <w:right w:type="dxa" w:w="90"/>
            </w:tcMar>
            <w:vAlign w:val="center"/>
          </w:tcPr>
          <w:p>
            <w:pPr>
              <w:spacing w:after="0" w:line="240"/>
              <w:jc w:val="left"/>
            </w:pPr>
            <w:r>
              <w:rPr>
                <w:rFonts w:ascii="Times New Roman" w:cs="Times New Roman" w:eastAsia="Times New Roman" w:hAnsi="Times New Roman"/>
                <w:b w:val="false"/>
                <w:bCs w:val="false"/>
                <w:i w:val="false"/>
                <w:iCs w:val="false"/>
                <w:color w:val="1a1a1a"/>
                <w:sz w:val="18"/>
                <w:szCs w:val="18"/>
              </w:rPr>
              <w:t xml:space="preserve">3</w:t>
            </w:r>
          </w:p>
        </w:tc>
        <w:tc>
          <w:tcPr>
            <w:tcW w:type="dxa" w:w="4180"/>
            <w:tcMar>
              <w:top w:type="dxa" w:w="40"/>
              <w:left w:type="dxa" w:w="90"/>
              <w:bottom w:type="dxa" w:w="40"/>
              <w:right w:type="dxa" w:w="90"/>
            </w:tcMar>
            <w:vAlign w:val="center"/>
          </w:tcPr>
          <w:p>
            <w:pPr>
              <w:spacing w:after="0" w:line="240"/>
              <w:jc w:val="left"/>
            </w:pPr>
            <w:r>
              <w:rPr>
                <w:rFonts w:ascii="Times New Roman" w:cs="Times New Roman" w:eastAsia="Times New Roman" w:hAnsi="Times New Roman"/>
                <w:b w:val="false"/>
                <w:bCs w:val="false"/>
                <w:i w:val="false"/>
                <w:iCs w:val="false"/>
                <w:color w:val="1a1a1a"/>
                <w:sz w:val="18"/>
                <w:szCs w:val="18"/>
              </w:rPr>
              <w:t xml:space="preserve">K-means cluster separation (PCA + ratio space)</w:t>
            </w:r>
          </w:p>
        </w:tc>
        <w:tc>
          <w:tcPr>
            <w:tcW w:type="dxa" w:w="4560"/>
            <w:tcMar>
              <w:top w:type="dxa" w:w="40"/>
              <w:left w:type="dxa" w:w="90"/>
              <w:bottom w:type="dxa" w:w="40"/>
              <w:right w:type="dxa" w:w="90"/>
            </w:tcMar>
            <w:vAlign w:val="center"/>
          </w:tcPr>
          <w:p>
            <w:pPr>
              <w:spacing w:after="0" w:line="240"/>
              <w:jc w:val="left"/>
            </w:pPr>
            <w:r>
              <w:rPr>
                <w:rFonts w:ascii="Times New Roman" w:cs="Times New Roman" w:eastAsia="Times New Roman" w:hAnsi="Times New Roman"/>
                <w:b w:val="false"/>
                <w:bCs w:val="false"/>
                <w:i w:val="false"/>
                <w:iCs w:val="false"/>
                <w:color w:val="1a1a1a"/>
                <w:sz w:val="18"/>
                <w:szCs w:val="18"/>
              </w:rPr>
              <w:t xml:space="preserve">Project figure; silhouette 0.370 matches Table V.</w:t>
            </w:r>
          </w:p>
        </w:tc>
      </w:tr>
      <w:tr>
        <w:tc>
          <w:tcPr>
            <w:tcW w:type="dxa" w:w="620"/>
            <w:shd w:fill="f2f5fa" w:color="auto" w:val="clear"/>
            <w:tcMar>
              <w:top w:type="dxa" w:w="40"/>
              <w:left w:type="dxa" w:w="90"/>
              <w:bottom w:type="dxa" w:w="40"/>
              <w:right w:type="dxa" w:w="90"/>
            </w:tcMar>
            <w:vAlign w:val="center"/>
          </w:tcPr>
          <w:p>
            <w:pPr>
              <w:spacing w:after="0" w:line="240"/>
              <w:jc w:val="left"/>
            </w:pPr>
            <w:r>
              <w:rPr>
                <w:rFonts w:ascii="Times New Roman" w:cs="Times New Roman" w:eastAsia="Times New Roman" w:hAnsi="Times New Roman"/>
                <w:b w:val="false"/>
                <w:bCs w:val="false"/>
                <w:i w:val="false"/>
                <w:iCs w:val="false"/>
                <w:color w:val="1a1a1a"/>
                <w:sz w:val="18"/>
                <w:szCs w:val="18"/>
              </w:rPr>
              <w:t xml:space="preserve">4</w:t>
            </w:r>
          </w:p>
        </w:tc>
        <w:tc>
          <w:tcPr>
            <w:tcW w:type="dxa" w:w="4180"/>
            <w:shd w:fill="f2f5fa" w:color="auto" w:val="clear"/>
            <w:tcMar>
              <w:top w:type="dxa" w:w="40"/>
              <w:left w:type="dxa" w:w="90"/>
              <w:bottom w:type="dxa" w:w="40"/>
              <w:right w:type="dxa" w:w="90"/>
            </w:tcMar>
            <w:vAlign w:val="center"/>
          </w:tcPr>
          <w:p>
            <w:pPr>
              <w:spacing w:after="0" w:line="240"/>
              <w:jc w:val="left"/>
            </w:pPr>
            <w:r>
              <w:rPr>
                <w:rFonts w:ascii="Times New Roman" w:cs="Times New Roman" w:eastAsia="Times New Roman" w:hAnsi="Times New Roman"/>
                <w:b w:val="false"/>
                <w:bCs w:val="false"/>
                <w:i w:val="false"/>
                <w:iCs w:val="false"/>
                <w:color w:val="1a1a1a"/>
                <w:sz w:val="18"/>
                <w:szCs w:val="18"/>
              </w:rPr>
              <w:t xml:space="preserve">Confusion matrices, all four models</w:t>
            </w:r>
          </w:p>
        </w:tc>
        <w:tc>
          <w:tcPr>
            <w:tcW w:type="dxa" w:w="4560"/>
            <w:shd w:fill="f2f5fa" w:color="auto" w:val="clear"/>
            <w:tcMar>
              <w:top w:type="dxa" w:w="40"/>
              <w:left w:type="dxa" w:w="90"/>
              <w:bottom w:type="dxa" w:w="40"/>
              <w:right w:type="dxa" w:w="90"/>
            </w:tcMar>
            <w:vAlign w:val="center"/>
          </w:tcPr>
          <w:p>
            <w:pPr>
              <w:spacing w:after="0" w:line="240"/>
              <w:jc w:val="left"/>
            </w:pPr>
            <w:r>
              <w:rPr>
                <w:rFonts w:ascii="Times New Roman" w:cs="Times New Roman" w:eastAsia="Times New Roman" w:hAnsi="Times New Roman"/>
                <w:b w:val="false"/>
                <w:bCs w:val="false"/>
                <w:i w:val="false"/>
                <w:iCs w:val="false"/>
                <w:color w:val="1a1a1a"/>
                <w:sz w:val="18"/>
                <w:szCs w:val="18"/>
              </w:rPr>
              <w:t xml:space="preserve">Rebuilt from holdout predictions; reproduces Table VII accuracy/macro-F1.</w:t>
            </w:r>
          </w:p>
        </w:tc>
      </w:tr>
      <w:tr>
        <w:tc>
          <w:tcPr>
            <w:tcW w:type="dxa" w:w="620"/>
            <w:tcMar>
              <w:top w:type="dxa" w:w="40"/>
              <w:left w:type="dxa" w:w="90"/>
              <w:bottom w:type="dxa" w:w="40"/>
              <w:right w:type="dxa" w:w="90"/>
            </w:tcMar>
            <w:vAlign w:val="center"/>
          </w:tcPr>
          <w:p>
            <w:pPr>
              <w:spacing w:after="0" w:line="240"/>
              <w:jc w:val="left"/>
            </w:pPr>
            <w:r>
              <w:rPr>
                <w:rFonts w:ascii="Times New Roman" w:cs="Times New Roman" w:eastAsia="Times New Roman" w:hAnsi="Times New Roman"/>
                <w:b w:val="false"/>
                <w:bCs w:val="false"/>
                <w:i w:val="false"/>
                <w:iCs w:val="false"/>
                <w:color w:val="1a1a1a"/>
                <w:sz w:val="18"/>
                <w:szCs w:val="18"/>
              </w:rPr>
              <w:t xml:space="preserve">5</w:t>
            </w:r>
          </w:p>
        </w:tc>
        <w:tc>
          <w:tcPr>
            <w:tcW w:type="dxa" w:w="4180"/>
            <w:tcMar>
              <w:top w:type="dxa" w:w="40"/>
              <w:left w:type="dxa" w:w="90"/>
              <w:bottom w:type="dxa" w:w="40"/>
              <w:right w:type="dxa" w:w="90"/>
            </w:tcMar>
            <w:vAlign w:val="center"/>
          </w:tcPr>
          <w:p>
            <w:pPr>
              <w:spacing w:after="0" w:line="240"/>
              <w:jc w:val="left"/>
            </w:pPr>
            <w:r>
              <w:rPr>
                <w:rFonts w:ascii="Times New Roman" w:cs="Times New Roman" w:eastAsia="Times New Roman" w:hAnsi="Times New Roman"/>
                <w:b w:val="false"/>
                <w:bCs w:val="false"/>
                <w:i w:val="false"/>
                <w:iCs w:val="false"/>
                <w:color w:val="1a1a1a"/>
                <w:sz w:val="18"/>
                <w:szCs w:val="18"/>
              </w:rPr>
              <w:t xml:space="preserve">Per-class ROC &amp; PR curves (MLP)</w:t>
            </w:r>
          </w:p>
        </w:tc>
        <w:tc>
          <w:tcPr>
            <w:tcW w:type="dxa" w:w="4560"/>
            <w:tcMar>
              <w:top w:type="dxa" w:w="40"/>
              <w:left w:type="dxa" w:w="90"/>
              <w:bottom w:type="dxa" w:w="40"/>
              <w:right w:type="dxa" w:w="90"/>
            </w:tcMar>
            <w:vAlign w:val="center"/>
          </w:tcPr>
          <w:p>
            <w:pPr>
              <w:spacing w:after="0" w:line="240"/>
              <w:jc w:val="left"/>
            </w:pPr>
            <w:r>
              <w:rPr>
                <w:rFonts w:ascii="Times New Roman" w:cs="Times New Roman" w:eastAsia="Times New Roman" w:hAnsi="Times New Roman"/>
                <w:b w:val="false"/>
                <w:bCs w:val="false"/>
                <w:i w:val="false"/>
                <w:iCs w:val="false"/>
                <w:color w:val="1a1a1a"/>
                <w:sz w:val="18"/>
                <w:szCs w:val="18"/>
              </w:rPr>
              <w:t xml:space="preserve">Per-class OVR AUCs average to ≈0.986, consistent with Table VII macro-OVR.</w:t>
            </w:r>
          </w:p>
        </w:tc>
      </w:tr>
      <w:tr>
        <w:tc>
          <w:tcPr>
            <w:tcW w:type="dxa" w:w="620"/>
            <w:shd w:fill="f2f5fa" w:color="auto" w:val="clear"/>
            <w:tcMar>
              <w:top w:type="dxa" w:w="40"/>
              <w:left w:type="dxa" w:w="90"/>
              <w:bottom w:type="dxa" w:w="40"/>
              <w:right w:type="dxa" w:w="90"/>
            </w:tcMar>
            <w:vAlign w:val="center"/>
          </w:tcPr>
          <w:p>
            <w:pPr>
              <w:spacing w:after="0" w:line="240"/>
              <w:jc w:val="left"/>
            </w:pPr>
            <w:r>
              <w:rPr>
                <w:rFonts w:ascii="Times New Roman" w:cs="Times New Roman" w:eastAsia="Times New Roman" w:hAnsi="Times New Roman"/>
                <w:b w:val="false"/>
                <w:bCs w:val="false"/>
                <w:i w:val="false"/>
                <w:iCs w:val="false"/>
                <w:color w:val="1a1a1a"/>
                <w:sz w:val="18"/>
                <w:szCs w:val="18"/>
              </w:rPr>
              <w:t xml:space="preserve">6</w:t>
            </w:r>
          </w:p>
        </w:tc>
        <w:tc>
          <w:tcPr>
            <w:tcW w:type="dxa" w:w="4180"/>
            <w:shd w:fill="f2f5fa" w:color="auto" w:val="clear"/>
            <w:tcMar>
              <w:top w:type="dxa" w:w="40"/>
              <w:left w:type="dxa" w:w="90"/>
              <w:bottom w:type="dxa" w:w="40"/>
              <w:right w:type="dxa" w:w="90"/>
            </w:tcMar>
            <w:vAlign w:val="center"/>
          </w:tcPr>
          <w:p>
            <w:pPr>
              <w:spacing w:after="0" w:line="240"/>
              <w:jc w:val="left"/>
            </w:pPr>
            <w:r>
              <w:rPr>
                <w:rFonts w:ascii="Times New Roman" w:cs="Times New Roman" w:eastAsia="Times New Roman" w:hAnsi="Times New Roman"/>
                <w:b w:val="false"/>
                <w:bCs w:val="false"/>
                <w:i w:val="false"/>
                <w:iCs w:val="false"/>
                <w:color w:val="1a1a1a"/>
                <w:sz w:val="18"/>
                <w:szCs w:val="18"/>
              </w:rPr>
              <w:t xml:space="preserve">Comparative bars (Acc/F1/ROC-AUC/PR-AUC)</w:t>
            </w:r>
          </w:p>
        </w:tc>
        <w:tc>
          <w:tcPr>
            <w:tcW w:type="dxa" w:w="4560"/>
            <w:shd w:fill="f2f5fa" w:color="auto" w:val="clear"/>
            <w:tcMar>
              <w:top w:type="dxa" w:w="40"/>
              <w:left w:type="dxa" w:w="90"/>
              <w:bottom w:type="dxa" w:w="40"/>
              <w:right w:type="dxa" w:w="90"/>
            </w:tcMar>
            <w:vAlign w:val="center"/>
          </w:tcPr>
          <w:p>
            <w:pPr>
              <w:spacing w:after="0" w:line="240"/>
              <w:jc w:val="left"/>
            </w:pPr>
            <w:r>
              <w:rPr>
                <w:rFonts w:ascii="Times New Roman" w:cs="Times New Roman" w:eastAsia="Times New Roman" w:hAnsi="Times New Roman"/>
                <w:b w:val="false"/>
                <w:bCs w:val="false"/>
                <w:i w:val="false"/>
                <w:iCs w:val="false"/>
                <w:color w:val="1a1a1a"/>
                <w:sz w:val="18"/>
                <w:szCs w:val="18"/>
              </w:rPr>
              <w:t xml:space="preserve">Regenerated from model_comparison.csv values.</w:t>
            </w:r>
          </w:p>
        </w:tc>
      </w:tr>
      <w:tr>
        <w:tc>
          <w:tcPr>
            <w:tcW w:type="dxa" w:w="620"/>
            <w:tcMar>
              <w:top w:type="dxa" w:w="40"/>
              <w:left w:type="dxa" w:w="90"/>
              <w:bottom w:type="dxa" w:w="40"/>
              <w:right w:type="dxa" w:w="90"/>
            </w:tcMar>
            <w:vAlign w:val="center"/>
          </w:tcPr>
          <w:p>
            <w:pPr>
              <w:spacing w:after="0" w:line="240"/>
              <w:jc w:val="left"/>
            </w:pPr>
            <w:r>
              <w:rPr>
                <w:rFonts w:ascii="Times New Roman" w:cs="Times New Roman" w:eastAsia="Times New Roman" w:hAnsi="Times New Roman"/>
                <w:b w:val="false"/>
                <w:bCs w:val="false"/>
                <w:i w:val="false"/>
                <w:iCs w:val="false"/>
                <w:color w:val="1a1a1a"/>
                <w:sz w:val="18"/>
                <w:szCs w:val="18"/>
              </w:rPr>
              <w:t xml:space="preserve">7</w:t>
            </w:r>
          </w:p>
        </w:tc>
        <w:tc>
          <w:tcPr>
            <w:tcW w:type="dxa" w:w="4180"/>
            <w:tcMar>
              <w:top w:type="dxa" w:w="40"/>
              <w:left w:type="dxa" w:w="90"/>
              <w:bottom w:type="dxa" w:w="40"/>
              <w:right w:type="dxa" w:w="90"/>
            </w:tcMar>
            <w:vAlign w:val="center"/>
          </w:tcPr>
          <w:p>
            <w:pPr>
              <w:spacing w:after="0" w:line="240"/>
              <w:jc w:val="left"/>
            </w:pPr>
            <w:r>
              <w:rPr>
                <w:rFonts w:ascii="Times New Roman" w:cs="Times New Roman" w:eastAsia="Times New Roman" w:hAnsi="Times New Roman"/>
                <w:b w:val="false"/>
                <w:bCs w:val="false"/>
                <w:i w:val="false"/>
                <w:iCs w:val="false"/>
                <w:color w:val="1a1a1a"/>
                <w:sz w:val="18"/>
                <w:szCs w:val="18"/>
              </w:rPr>
              <w:t xml:space="preserve">Guardrail dominance (share + model influence)</w:t>
            </w:r>
          </w:p>
        </w:tc>
        <w:tc>
          <w:tcPr>
            <w:tcW w:type="dxa" w:w="4560"/>
            <w:tcMar>
              <w:top w:type="dxa" w:w="40"/>
              <w:left w:type="dxa" w:w="90"/>
              <w:bottom w:type="dxa" w:w="40"/>
              <w:right w:type="dxa" w:w="90"/>
            </w:tcMar>
            <w:vAlign w:val="center"/>
          </w:tcPr>
          <w:p>
            <w:pPr>
              <w:spacing w:after="0" w:line="240"/>
              <w:jc w:val="left"/>
            </w:pPr>
            <w:r>
              <w:rPr>
                <w:rFonts w:ascii="Times New Roman" w:cs="Times New Roman" w:eastAsia="Times New Roman" w:hAnsi="Times New Roman"/>
                <w:b w:val="false"/>
                <w:bCs w:val="false"/>
                <w:i w:val="false"/>
                <w:iCs w:val="false"/>
                <w:color w:val="1a1a1a"/>
                <w:sz w:val="18"/>
                <w:szCs w:val="18"/>
              </w:rPr>
              <w:t xml:space="preserve">From the §IV-F guardrail sweep.</w:t>
            </w:r>
          </w:p>
        </w:tc>
      </w:tr>
      <w:tr>
        <w:tc>
          <w:tcPr>
            <w:tcW w:type="dxa" w:w="620"/>
            <w:shd w:fill="f2f5fa" w:color="auto" w:val="clear"/>
            <w:tcMar>
              <w:top w:type="dxa" w:w="40"/>
              <w:left w:type="dxa" w:w="90"/>
              <w:bottom w:type="dxa" w:w="40"/>
              <w:right w:type="dxa" w:w="90"/>
            </w:tcMar>
            <w:vAlign w:val="center"/>
          </w:tcPr>
          <w:p>
            <w:pPr>
              <w:spacing w:after="0" w:line="240"/>
              <w:jc w:val="left"/>
            </w:pPr>
            <w:r>
              <w:rPr>
                <w:rFonts w:ascii="Times New Roman" w:cs="Times New Roman" w:eastAsia="Times New Roman" w:hAnsi="Times New Roman"/>
                <w:b w:val="false"/>
                <w:bCs w:val="false"/>
                <w:i w:val="false"/>
                <w:iCs w:val="false"/>
                <w:color w:val="1a1a1a"/>
                <w:sz w:val="18"/>
                <w:szCs w:val="18"/>
              </w:rPr>
              <w:t xml:space="preserve">8</w:t>
            </w:r>
          </w:p>
        </w:tc>
        <w:tc>
          <w:tcPr>
            <w:tcW w:type="dxa" w:w="4180"/>
            <w:shd w:fill="f2f5fa" w:color="auto" w:val="clear"/>
            <w:tcMar>
              <w:top w:type="dxa" w:w="40"/>
              <w:left w:type="dxa" w:w="90"/>
              <w:bottom w:type="dxa" w:w="40"/>
              <w:right w:type="dxa" w:w="90"/>
            </w:tcMar>
            <w:vAlign w:val="center"/>
          </w:tcPr>
          <w:p>
            <w:pPr>
              <w:spacing w:after="0" w:line="240"/>
              <w:jc w:val="left"/>
            </w:pPr>
            <w:r>
              <w:rPr>
                <w:rFonts w:ascii="Times New Roman" w:cs="Times New Roman" w:eastAsia="Times New Roman" w:hAnsi="Times New Roman"/>
                <w:b w:val="false"/>
                <w:bCs w:val="false"/>
                <w:i w:val="false"/>
                <w:iCs w:val="false"/>
                <w:color w:val="1a1a1a"/>
                <w:sz w:val="18"/>
                <w:szCs w:val="18"/>
              </w:rPr>
              <w:t xml:space="preserve">Deterministic 12-month ROI, original vs. corrected</w:t>
            </w:r>
          </w:p>
        </w:tc>
        <w:tc>
          <w:tcPr>
            <w:tcW w:type="dxa" w:w="4560"/>
            <w:shd w:fill="f2f5fa" w:color="auto" w:val="clear"/>
            <w:tcMar>
              <w:top w:type="dxa" w:w="40"/>
              <w:left w:type="dxa" w:w="90"/>
              <w:bottom w:type="dxa" w:w="40"/>
              <w:right w:type="dxa" w:w="90"/>
            </w:tcMar>
            <w:vAlign w:val="center"/>
          </w:tcPr>
          <w:p>
            <w:pPr>
              <w:spacing w:after="0" w:line="240"/>
              <w:jc w:val="left"/>
            </w:pPr>
            <w:r>
              <w:rPr>
                <w:rFonts w:ascii="Times New Roman" w:cs="Times New Roman" w:eastAsia="Times New Roman" w:hAnsi="Times New Roman"/>
                <w:b w:val="false"/>
                <w:bCs w:val="false"/>
                <w:i w:val="false"/>
                <w:iCs w:val="false"/>
                <w:color w:val="1a1a1a"/>
                <w:sz w:val="18"/>
                <w:szCs w:val="18"/>
              </w:rPr>
              <w:t xml:space="preserve">From Table IX values.</w:t>
            </w:r>
          </w:p>
        </w:tc>
      </w:tr>
    </w:tbl>
    <w:p>
      <w:pPr>
        <w:keepNext/>
        <w:spacing w:after="80" w:before="180"/>
      </w:pPr>
      <w:r>
        <w:rPr>
          <w:rFonts w:ascii="Times New Roman" w:cs="Times New Roman" w:eastAsia="Times New Roman" w:hAnsi="Times New Roman"/>
          <w:b/>
          <w:bCs/>
          <w:i w:val="false"/>
          <w:iCs w:val="false"/>
          <w:color w:val="1a1a1a"/>
          <w:sz w:val="22"/>
          <w:szCs w:val="22"/>
        </w:rPr>
        <w:t xml:space="preserve">4.1  The excluded all-models ROC/PR figure — and why</w:t>
      </w:r>
    </w:p>
    <w:p>
      <w:pPr>
        <w:spacing w:after="120" w:before="0" w:line="276"/>
        <w:jc w:val="both"/>
      </w:pPr>
      <w:r>
        <w:rPr>
          <w:rFonts w:ascii="Times New Roman" w:cs="Times New Roman" w:eastAsia="Times New Roman" w:hAnsi="Times New Roman"/>
          <w:b w:val="false"/>
          <w:bCs w:val="false"/>
          <w:i w:val="false"/>
          <w:iCs w:val="false"/>
          <w:color w:val="1a1a1a"/>
          <w:sz w:val="21"/>
          <w:szCs w:val="21"/>
        </w:rPr>
        <w:t xml:space="preserve">An additional figure overlaying ROC and precision–recall curves for all four models was available but was deliberately left out, because the AUC values it would display are computed under a different averaging convention than Table VII and reverse the paper's honest finding. This is worth recording in full, because it is exactly the kind of silent inconsistency the revision was meant to eliminate.</w:t>
      </w:r>
    </w:p>
    <w:p>
      <w:pPr>
        <w:spacing w:after="120" w:before="0" w:line="276"/>
        <w:jc w:val="both"/>
      </w:pPr>
      <w:r>
        <w:rPr>
          <w:rFonts w:ascii="Times New Roman" w:cs="Times New Roman" w:eastAsia="Times New Roman" w:hAnsi="Times New Roman"/>
          <w:b w:val="false"/>
          <w:bCs w:val="false"/>
          <w:i w:val="false"/>
          <w:iCs w:val="false"/>
          <w:color w:val="1a1a1a"/>
          <w:sz w:val="21"/>
          <w:szCs w:val="21"/>
        </w:rPr>
        <w:t xml:space="preserve">The project stored two different area-under-curve summaries for each model:</w:t>
      </w:r>
    </w:p>
    <w:p>
      <w:pPr>
        <w:pStyle w:val="ListParagraph"/>
        <w:numPr>
          <w:ilvl w:val="0"/>
          <w:numId w:val="1"/>
        </w:numPr>
        <w:spacing w:after="70" w:line="268"/>
        <w:jc w:val="left"/>
      </w:pPr>
      <w:r>
        <w:rPr>
          <w:rFonts w:ascii="Times New Roman" w:cs="Times New Roman" w:eastAsia="Times New Roman" w:hAnsi="Times New Roman"/>
          <w:b w:val="false"/>
          <w:bCs w:val="false"/>
          <w:i w:val="false"/>
          <w:iCs w:val="false"/>
          <w:color w:val="1a1a1a"/>
          <w:sz w:val="20"/>
          <w:szCs w:val="20"/>
        </w:rPr>
        <w:t xml:space="preserve">Macro one-vs-rest (used in Table VII): </w:t>
      </w:r>
      <w:r>
        <w:rPr>
          <w:rFonts w:ascii="Consolas" w:cs="Consolas" w:eastAsia="Consolas" w:hAnsi="Consolas"/>
          <w:b w:val="false"/>
          <w:bCs w:val="false"/>
          <w:i w:val="false"/>
          <w:iCs w:val="false"/>
          <w:color w:val="1a1a1a"/>
          <w:sz w:val="17"/>
          <w:szCs w:val="17"/>
        </w:rPr>
        <w:t xml:space="preserve">model_comparison.csv</w:t>
      </w:r>
      <w:r>
        <w:rPr>
          <w:rFonts w:ascii="Times New Roman" w:cs="Times New Roman" w:eastAsia="Times New Roman" w:hAnsi="Times New Roman"/>
          <w:b w:val="false"/>
          <w:bCs w:val="false"/>
          <w:i w:val="false"/>
          <w:iCs w:val="false"/>
          <w:color w:val="1a1a1a"/>
          <w:sz w:val="20"/>
          <w:szCs w:val="20"/>
        </w:rPr>
        <w:t xml:space="preserve"> → roc_auc_ovr_macro. MLP = 0.9859, LR = 0.9861.</w:t>
      </w:r>
    </w:p>
    <w:p>
      <w:pPr>
        <w:pStyle w:val="ListParagraph"/>
        <w:numPr>
          <w:ilvl w:val="0"/>
          <w:numId w:val="1"/>
        </w:numPr>
        <w:spacing w:after="70" w:line="268"/>
        <w:jc w:val="left"/>
      </w:pPr>
      <w:r>
        <w:rPr>
          <w:rFonts w:ascii="Times New Roman" w:cs="Times New Roman" w:eastAsia="Times New Roman" w:hAnsi="Times New Roman"/>
          <w:b w:val="false"/>
          <w:bCs w:val="false"/>
          <w:i w:val="false"/>
          <w:iCs w:val="false"/>
          <w:color w:val="1a1a1a"/>
          <w:sz w:val="20"/>
          <w:szCs w:val="20"/>
        </w:rPr>
        <w:t xml:space="preserve">Micro-averaged (used by the all-models curve figure): </w:t>
      </w:r>
      <w:r>
        <w:rPr>
          <w:rFonts w:ascii="Consolas" w:cs="Consolas" w:eastAsia="Consolas" w:hAnsi="Consolas"/>
          <w:b w:val="false"/>
          <w:bCs w:val="false"/>
          <w:i w:val="false"/>
          <w:iCs w:val="false"/>
          <w:color w:val="1a1a1a"/>
          <w:sz w:val="17"/>
          <w:szCs w:val="17"/>
        </w:rPr>
        <w:t xml:space="preserve">...metrics_final.json</w:t>
      </w:r>
      <w:r>
        <w:rPr>
          <w:rFonts w:ascii="Times New Roman" w:cs="Times New Roman" w:eastAsia="Times New Roman" w:hAnsi="Times New Roman"/>
          <w:b w:val="false"/>
          <w:bCs w:val="false"/>
          <w:i w:val="false"/>
          <w:iCs w:val="false"/>
          <w:color w:val="1a1a1a"/>
          <w:sz w:val="20"/>
          <w:szCs w:val="20"/>
        </w:rPr>
        <w:t xml:space="preserve"> → curve_auc.micro_roc_auc. MLP = 0.9888, LR = 0.9813.</w:t>
      </w:r>
    </w:p>
    <w:p>
      <w:pPr>
        <w:spacing w:after="120" w:before="0" w:line="276"/>
        <w:jc w:val="both"/>
      </w:pPr>
      <w:r>
        <w:rPr>
          <w:rFonts w:ascii="Times New Roman" w:cs="Times New Roman" w:eastAsia="Times New Roman" w:hAnsi="Times New Roman"/>
          <w:b w:val="false"/>
          <w:bCs w:val="false"/>
          <w:i w:val="false"/>
          <w:iCs w:val="false"/>
          <w:color w:val="1a1a1a"/>
          <w:sz w:val="21"/>
          <w:szCs w:val="21"/>
        </w:rPr>
        <w:t xml:space="preserve">These two conventions order the two leading models in opposite directions:</w:t>
      </w:r>
    </w:p>
    <w:tbl>
      <w:tblPr>
        <w:tblW w:type="dxa" w:w="9360"/>
        <w:tblBorders>
          <w:top w:val="single" w:color="888888" w:sz="4"/>
          <w:left w:val="none"/>
          <w:bottom w:val="single" w:color="888888" w:sz="4"/>
          <w:right w:val="none"/>
          <w:insideH w:val="single" w:color="cccccc" w:sz="2"/>
          <w:insideV w:val="none"/>
        </w:tblBorders>
      </w:tblPr>
      <w:tblGrid>
        <w:gridCol w:w="2160"/>
        <w:gridCol w:w="1440"/>
        <w:gridCol w:w="1440"/>
        <w:gridCol w:w="1560"/>
        <w:gridCol w:w="1380"/>
        <w:gridCol w:w="1380"/>
      </w:tblGrid>
      <w:tr>
        <w:trPr>
          <w:tblHeader/>
        </w:trPr>
        <w:tc>
          <w:tcPr>
            <w:tcW w:type="dxa" w:w="2160"/>
            <w:shd w:fill="1f3b73" w:color="auto" w:val="clear"/>
            <w:tcMar>
              <w:top w:type="dxa" w:w="40"/>
              <w:left w:type="dxa" w:w="90"/>
              <w:bottom w:type="dxa" w:w="40"/>
              <w:right w:type="dxa" w:w="90"/>
            </w:tcMar>
            <w:vAlign w:val="center"/>
          </w:tcPr>
          <w:p>
            <w:pPr>
              <w:spacing w:after="0" w:line="240"/>
              <w:jc w:val="left"/>
            </w:pPr>
            <w:r>
              <w:rPr>
                <w:rFonts w:ascii="Times New Roman" w:cs="Times New Roman" w:eastAsia="Times New Roman" w:hAnsi="Times New Roman"/>
                <w:b/>
                <w:bCs/>
                <w:i w:val="false"/>
                <w:iCs w:val="false"/>
                <w:color w:val="ffffff"/>
                <w:sz w:val="18"/>
                <w:szCs w:val="18"/>
              </w:rPr>
              <w:t xml:space="preserve">Averaging</w:t>
            </w:r>
          </w:p>
        </w:tc>
        <w:tc>
          <w:tcPr>
            <w:tcW w:type="dxa" w:w="1440"/>
            <w:shd w:fill="1f3b73" w:color="auto" w:val="clear"/>
            <w:tcMar>
              <w:top w:type="dxa" w:w="40"/>
              <w:left w:type="dxa" w:w="90"/>
              <w:bottom w:type="dxa" w:w="40"/>
              <w:right w:type="dxa" w:w="90"/>
            </w:tcMar>
            <w:vAlign w:val="center"/>
          </w:tcPr>
          <w:p>
            <w:pPr>
              <w:spacing w:after="0" w:line="240"/>
              <w:jc w:val="left"/>
            </w:pPr>
            <w:r>
              <w:rPr>
                <w:rFonts w:ascii="Times New Roman" w:cs="Times New Roman" w:eastAsia="Times New Roman" w:hAnsi="Times New Roman"/>
                <w:b/>
                <w:bCs/>
                <w:i w:val="false"/>
                <w:iCs w:val="false"/>
                <w:color w:val="ffffff"/>
                <w:sz w:val="18"/>
                <w:szCs w:val="18"/>
              </w:rPr>
              <w:t xml:space="preserve">MLP ROC-AUC</w:t>
            </w:r>
          </w:p>
        </w:tc>
        <w:tc>
          <w:tcPr>
            <w:tcW w:type="dxa" w:w="1440"/>
            <w:shd w:fill="1f3b73" w:color="auto" w:val="clear"/>
            <w:tcMar>
              <w:top w:type="dxa" w:w="40"/>
              <w:left w:type="dxa" w:w="90"/>
              <w:bottom w:type="dxa" w:w="40"/>
              <w:right w:type="dxa" w:w="90"/>
            </w:tcMar>
            <w:vAlign w:val="center"/>
          </w:tcPr>
          <w:p>
            <w:pPr>
              <w:spacing w:after="0" w:line="240"/>
              <w:jc w:val="left"/>
            </w:pPr>
            <w:r>
              <w:rPr>
                <w:rFonts w:ascii="Times New Roman" w:cs="Times New Roman" w:eastAsia="Times New Roman" w:hAnsi="Times New Roman"/>
                <w:b/>
                <w:bCs/>
                <w:i w:val="false"/>
                <w:iCs w:val="false"/>
                <w:color w:val="ffffff"/>
                <w:sz w:val="18"/>
                <w:szCs w:val="18"/>
              </w:rPr>
              <w:t xml:space="preserve">LR ROC-AUC</w:t>
            </w:r>
          </w:p>
        </w:tc>
        <w:tc>
          <w:tcPr>
            <w:tcW w:type="dxa" w:w="1560"/>
            <w:shd w:fill="1f3b73" w:color="auto" w:val="clear"/>
            <w:tcMar>
              <w:top w:type="dxa" w:w="40"/>
              <w:left w:type="dxa" w:w="90"/>
              <w:bottom w:type="dxa" w:w="40"/>
              <w:right w:type="dxa" w:w="90"/>
            </w:tcMar>
            <w:vAlign w:val="center"/>
          </w:tcPr>
          <w:p>
            <w:pPr>
              <w:spacing w:after="0" w:line="240"/>
              <w:jc w:val="left"/>
            </w:pPr>
            <w:r>
              <w:rPr>
                <w:rFonts w:ascii="Times New Roman" w:cs="Times New Roman" w:eastAsia="Times New Roman" w:hAnsi="Times New Roman"/>
                <w:b/>
                <w:bCs/>
                <w:i w:val="false"/>
                <w:iCs w:val="false"/>
                <w:color w:val="ffffff"/>
                <w:sz w:val="18"/>
                <w:szCs w:val="18"/>
              </w:rPr>
              <w:t xml:space="preserve">Ordering</w:t>
            </w:r>
          </w:p>
        </w:tc>
        <w:tc>
          <w:tcPr>
            <w:tcW w:type="dxa" w:w="1380"/>
            <w:shd w:fill="1f3b73" w:color="auto" w:val="clear"/>
            <w:tcMar>
              <w:top w:type="dxa" w:w="40"/>
              <w:left w:type="dxa" w:w="90"/>
              <w:bottom w:type="dxa" w:w="40"/>
              <w:right w:type="dxa" w:w="90"/>
            </w:tcMar>
            <w:vAlign w:val="center"/>
          </w:tcPr>
          <w:p>
            <w:pPr>
              <w:spacing w:after="0" w:line="240"/>
              <w:jc w:val="left"/>
            </w:pPr>
            <w:r>
              <w:rPr>
                <w:rFonts w:ascii="Times New Roman" w:cs="Times New Roman" w:eastAsia="Times New Roman" w:hAnsi="Times New Roman"/>
                <w:b/>
                <w:bCs/>
                <w:i w:val="false"/>
                <w:iCs w:val="false"/>
                <w:color w:val="ffffff"/>
                <w:sz w:val="18"/>
                <w:szCs w:val="18"/>
              </w:rPr>
              <w:t xml:space="preserve">MLP PR-AUC</w:t>
            </w:r>
          </w:p>
        </w:tc>
        <w:tc>
          <w:tcPr>
            <w:tcW w:type="dxa" w:w="1380"/>
            <w:shd w:fill="1f3b73" w:color="auto" w:val="clear"/>
            <w:tcMar>
              <w:top w:type="dxa" w:w="40"/>
              <w:left w:type="dxa" w:w="90"/>
              <w:bottom w:type="dxa" w:w="40"/>
              <w:right w:type="dxa" w:w="90"/>
            </w:tcMar>
            <w:vAlign w:val="center"/>
          </w:tcPr>
          <w:p>
            <w:pPr>
              <w:spacing w:after="0" w:line="240"/>
              <w:jc w:val="left"/>
            </w:pPr>
            <w:r>
              <w:rPr>
                <w:rFonts w:ascii="Times New Roman" w:cs="Times New Roman" w:eastAsia="Times New Roman" w:hAnsi="Times New Roman"/>
                <w:b/>
                <w:bCs/>
                <w:i w:val="false"/>
                <w:iCs w:val="false"/>
                <w:color w:val="ffffff"/>
                <w:sz w:val="18"/>
                <w:szCs w:val="18"/>
              </w:rPr>
              <w:t xml:space="preserve">LR PR-AUC</w:t>
            </w:r>
          </w:p>
        </w:tc>
      </w:tr>
      <w:tr>
        <w:tc>
          <w:tcPr>
            <w:tcW w:type="dxa" w:w="2160"/>
            <w:tcMar>
              <w:top w:type="dxa" w:w="40"/>
              <w:left w:type="dxa" w:w="90"/>
              <w:bottom w:type="dxa" w:w="40"/>
              <w:right w:type="dxa" w:w="90"/>
            </w:tcMar>
            <w:vAlign w:val="center"/>
          </w:tcPr>
          <w:p>
            <w:pPr>
              <w:spacing w:after="0" w:line="240"/>
              <w:jc w:val="left"/>
            </w:pPr>
            <w:r>
              <w:rPr>
                <w:rFonts w:ascii="Times New Roman" w:cs="Times New Roman" w:eastAsia="Times New Roman" w:hAnsi="Times New Roman"/>
                <w:b/>
                <w:bCs/>
                <w:i w:val="false"/>
                <w:iCs w:val="false"/>
                <w:color w:val="1a1a1a"/>
                <w:sz w:val="18"/>
                <w:szCs w:val="18"/>
              </w:rPr>
              <w:t xml:space="preserve">Macro-OVR </w:t>
            </w:r>
            <w:r>
              <w:rPr>
                <w:rFonts w:ascii="Times New Roman" w:cs="Times New Roman" w:eastAsia="Times New Roman" w:hAnsi="Times New Roman"/>
                <w:b w:val="false"/>
                <w:bCs w:val="false"/>
                <w:i w:val="false"/>
                <w:iCs w:val="false"/>
                <w:color w:val="555555"/>
                <w:sz w:val="16"/>
                <w:szCs w:val="16"/>
              </w:rPr>
              <w:t xml:space="preserve">(Table VII)</w:t>
            </w:r>
          </w:p>
        </w:tc>
        <w:tc>
          <w:tcPr>
            <w:tcW w:type="dxa" w:w="1440"/>
            <w:tcMar>
              <w:top w:type="dxa" w:w="40"/>
              <w:left w:type="dxa" w:w="90"/>
              <w:bottom w:type="dxa" w:w="40"/>
              <w:right w:type="dxa" w:w="90"/>
            </w:tcMar>
            <w:vAlign w:val="center"/>
          </w:tcPr>
          <w:p>
            <w:pPr>
              <w:spacing w:after="0" w:line="240"/>
              <w:jc w:val="left"/>
            </w:pPr>
            <w:r>
              <w:rPr>
                <w:rFonts w:ascii="Times New Roman" w:cs="Times New Roman" w:eastAsia="Times New Roman" w:hAnsi="Times New Roman"/>
                <w:b w:val="false"/>
                <w:bCs w:val="false"/>
                <w:i w:val="false"/>
                <w:iCs w:val="false"/>
                <w:color w:val="1a1a1a"/>
                <w:sz w:val="18"/>
                <w:szCs w:val="18"/>
              </w:rPr>
              <w:t xml:space="preserve">0.9859</w:t>
            </w:r>
          </w:p>
        </w:tc>
        <w:tc>
          <w:tcPr>
            <w:tcW w:type="dxa" w:w="1440"/>
            <w:tcMar>
              <w:top w:type="dxa" w:w="40"/>
              <w:left w:type="dxa" w:w="90"/>
              <w:bottom w:type="dxa" w:w="40"/>
              <w:right w:type="dxa" w:w="90"/>
            </w:tcMar>
            <w:vAlign w:val="center"/>
          </w:tcPr>
          <w:p>
            <w:pPr>
              <w:spacing w:after="0" w:line="240"/>
              <w:jc w:val="left"/>
            </w:pPr>
            <w:r>
              <w:rPr>
                <w:rFonts w:ascii="Times New Roman" w:cs="Times New Roman" w:eastAsia="Times New Roman" w:hAnsi="Times New Roman"/>
                <w:b w:val="false"/>
                <w:bCs w:val="false"/>
                <w:i w:val="false"/>
                <w:iCs w:val="false"/>
                <w:color w:val="1a1a1a"/>
                <w:sz w:val="18"/>
                <w:szCs w:val="18"/>
              </w:rPr>
              <w:t xml:space="preserve">0.9861</w:t>
            </w:r>
          </w:p>
        </w:tc>
        <w:tc>
          <w:tcPr>
            <w:tcW w:type="dxa" w:w="1560"/>
            <w:tcMar>
              <w:top w:type="dxa" w:w="40"/>
              <w:left w:type="dxa" w:w="90"/>
              <w:bottom w:type="dxa" w:w="40"/>
              <w:right w:type="dxa" w:w="90"/>
            </w:tcMar>
            <w:vAlign w:val="center"/>
          </w:tcPr>
          <w:p>
            <w:pPr>
              <w:spacing w:after="0" w:line="240"/>
              <w:jc w:val="left"/>
            </w:pPr>
            <w:r>
              <w:rPr>
                <w:rFonts w:ascii="Times New Roman" w:cs="Times New Roman" w:eastAsia="Times New Roman" w:hAnsi="Times New Roman"/>
                <w:b/>
                <w:bCs/>
                <w:i w:val="false"/>
                <w:iCs w:val="false"/>
                <w:color w:val="1e6b3a"/>
                <w:sz w:val="18"/>
                <w:szCs w:val="18"/>
              </w:rPr>
              <w:t xml:space="preserve">LR &gt; MLP</w:t>
            </w:r>
          </w:p>
        </w:tc>
        <w:tc>
          <w:tcPr>
            <w:tcW w:type="dxa" w:w="1380"/>
            <w:tcMar>
              <w:top w:type="dxa" w:w="40"/>
              <w:left w:type="dxa" w:w="90"/>
              <w:bottom w:type="dxa" w:w="40"/>
              <w:right w:type="dxa" w:w="90"/>
            </w:tcMar>
            <w:vAlign w:val="center"/>
          </w:tcPr>
          <w:p>
            <w:pPr>
              <w:spacing w:after="0" w:line="240"/>
              <w:jc w:val="left"/>
            </w:pPr>
            <w:r>
              <w:rPr>
                <w:rFonts w:ascii="Times New Roman" w:cs="Times New Roman" w:eastAsia="Times New Roman" w:hAnsi="Times New Roman"/>
                <w:b w:val="false"/>
                <w:bCs w:val="false"/>
                <w:i w:val="false"/>
                <w:iCs w:val="false"/>
                <w:color w:val="1a1a1a"/>
                <w:sz w:val="18"/>
                <w:szCs w:val="18"/>
              </w:rPr>
              <w:t xml:space="preserve">0.9514</w:t>
            </w:r>
          </w:p>
        </w:tc>
        <w:tc>
          <w:tcPr>
            <w:tcW w:type="dxa" w:w="1380"/>
            <w:tcMar>
              <w:top w:type="dxa" w:w="40"/>
              <w:left w:type="dxa" w:w="90"/>
              <w:bottom w:type="dxa" w:w="40"/>
              <w:right w:type="dxa" w:w="90"/>
            </w:tcMar>
            <w:vAlign w:val="center"/>
          </w:tcPr>
          <w:p>
            <w:pPr>
              <w:spacing w:after="0" w:line="240"/>
              <w:jc w:val="left"/>
            </w:pPr>
            <w:r>
              <w:rPr>
                <w:rFonts w:ascii="Times New Roman" w:cs="Times New Roman" w:eastAsia="Times New Roman" w:hAnsi="Times New Roman"/>
                <w:b w:val="false"/>
                <w:bCs w:val="false"/>
                <w:i w:val="false"/>
                <w:iCs w:val="false"/>
                <w:color w:val="1a1a1a"/>
                <w:sz w:val="18"/>
                <w:szCs w:val="18"/>
              </w:rPr>
              <w:t xml:space="preserve">0.9520</w:t>
            </w:r>
          </w:p>
        </w:tc>
      </w:tr>
      <w:tr>
        <w:tc>
          <w:tcPr>
            <w:tcW w:type="dxa" w:w="2160"/>
            <w:shd w:fill="f2f5fa" w:color="auto" w:val="clear"/>
            <w:tcMar>
              <w:top w:type="dxa" w:w="40"/>
              <w:left w:type="dxa" w:w="90"/>
              <w:bottom w:type="dxa" w:w="40"/>
              <w:right w:type="dxa" w:w="90"/>
            </w:tcMar>
            <w:vAlign w:val="center"/>
          </w:tcPr>
          <w:p>
            <w:pPr>
              <w:spacing w:after="0" w:line="240"/>
              <w:jc w:val="left"/>
            </w:pPr>
            <w:r>
              <w:rPr>
                <w:rFonts w:ascii="Times New Roman" w:cs="Times New Roman" w:eastAsia="Times New Roman" w:hAnsi="Times New Roman"/>
                <w:b/>
                <w:bCs/>
                <w:i w:val="false"/>
                <w:iCs w:val="false"/>
                <w:color w:val="1a1a1a"/>
                <w:sz w:val="18"/>
                <w:szCs w:val="18"/>
              </w:rPr>
              <w:t xml:space="preserve">Micro </w:t>
            </w:r>
            <w:r>
              <w:rPr>
                <w:rFonts w:ascii="Times New Roman" w:cs="Times New Roman" w:eastAsia="Times New Roman" w:hAnsi="Times New Roman"/>
                <w:b w:val="false"/>
                <w:bCs w:val="false"/>
                <w:i w:val="false"/>
                <w:iCs w:val="false"/>
                <w:color w:val="555555"/>
                <w:sz w:val="16"/>
                <w:szCs w:val="16"/>
              </w:rPr>
              <w:t xml:space="preserve">(excluded fig.)</w:t>
            </w:r>
          </w:p>
        </w:tc>
        <w:tc>
          <w:tcPr>
            <w:tcW w:type="dxa" w:w="1440"/>
            <w:shd w:fill="f2f5fa" w:color="auto" w:val="clear"/>
            <w:tcMar>
              <w:top w:type="dxa" w:w="40"/>
              <w:left w:type="dxa" w:w="90"/>
              <w:bottom w:type="dxa" w:w="40"/>
              <w:right w:type="dxa" w:w="90"/>
            </w:tcMar>
            <w:vAlign w:val="center"/>
          </w:tcPr>
          <w:p>
            <w:pPr>
              <w:spacing w:after="0" w:line="240"/>
              <w:jc w:val="left"/>
            </w:pPr>
            <w:r>
              <w:rPr>
                <w:rFonts w:ascii="Times New Roman" w:cs="Times New Roman" w:eastAsia="Times New Roman" w:hAnsi="Times New Roman"/>
                <w:b w:val="false"/>
                <w:bCs w:val="false"/>
                <w:i w:val="false"/>
                <w:iCs w:val="false"/>
                <w:color w:val="1a1a1a"/>
                <w:sz w:val="18"/>
                <w:szCs w:val="18"/>
              </w:rPr>
              <w:t xml:space="preserve">0.9888</w:t>
            </w:r>
          </w:p>
        </w:tc>
        <w:tc>
          <w:tcPr>
            <w:tcW w:type="dxa" w:w="1440"/>
            <w:shd w:fill="f2f5fa" w:color="auto" w:val="clear"/>
            <w:tcMar>
              <w:top w:type="dxa" w:w="40"/>
              <w:left w:type="dxa" w:w="90"/>
              <w:bottom w:type="dxa" w:w="40"/>
              <w:right w:type="dxa" w:w="90"/>
            </w:tcMar>
            <w:vAlign w:val="center"/>
          </w:tcPr>
          <w:p>
            <w:pPr>
              <w:spacing w:after="0" w:line="240"/>
              <w:jc w:val="left"/>
            </w:pPr>
            <w:r>
              <w:rPr>
                <w:rFonts w:ascii="Times New Roman" w:cs="Times New Roman" w:eastAsia="Times New Roman" w:hAnsi="Times New Roman"/>
                <w:b w:val="false"/>
                <w:bCs w:val="false"/>
                <w:i w:val="false"/>
                <w:iCs w:val="false"/>
                <w:color w:val="1a1a1a"/>
                <w:sz w:val="18"/>
                <w:szCs w:val="18"/>
              </w:rPr>
              <w:t xml:space="preserve">0.9813</w:t>
            </w:r>
          </w:p>
        </w:tc>
        <w:tc>
          <w:tcPr>
            <w:tcW w:type="dxa" w:w="1560"/>
            <w:shd w:fill="f2f5fa" w:color="auto" w:val="clear"/>
            <w:tcMar>
              <w:top w:type="dxa" w:w="40"/>
              <w:left w:type="dxa" w:w="90"/>
              <w:bottom w:type="dxa" w:w="40"/>
              <w:right w:type="dxa" w:w="90"/>
            </w:tcMar>
            <w:vAlign w:val="center"/>
          </w:tcPr>
          <w:p>
            <w:pPr>
              <w:spacing w:after="0" w:line="240"/>
              <w:jc w:val="left"/>
            </w:pPr>
            <w:r>
              <w:rPr>
                <w:rFonts w:ascii="Times New Roman" w:cs="Times New Roman" w:eastAsia="Times New Roman" w:hAnsi="Times New Roman"/>
                <w:b/>
                <w:bCs/>
                <w:i w:val="false"/>
                <w:iCs w:val="false"/>
                <w:color w:val="b03030"/>
                <w:sz w:val="18"/>
                <w:szCs w:val="18"/>
              </w:rPr>
              <w:t xml:space="preserve">MLP &gt; LR</w:t>
            </w:r>
          </w:p>
        </w:tc>
        <w:tc>
          <w:tcPr>
            <w:tcW w:type="dxa" w:w="1380"/>
            <w:shd w:fill="f2f5fa" w:color="auto" w:val="clear"/>
            <w:tcMar>
              <w:top w:type="dxa" w:w="40"/>
              <w:left w:type="dxa" w:w="90"/>
              <w:bottom w:type="dxa" w:w="40"/>
              <w:right w:type="dxa" w:w="90"/>
            </w:tcMar>
            <w:vAlign w:val="center"/>
          </w:tcPr>
          <w:p>
            <w:pPr>
              <w:spacing w:after="0" w:line="240"/>
              <w:jc w:val="left"/>
            </w:pPr>
            <w:r>
              <w:rPr>
                <w:rFonts w:ascii="Times New Roman" w:cs="Times New Roman" w:eastAsia="Times New Roman" w:hAnsi="Times New Roman"/>
                <w:b w:val="false"/>
                <w:bCs w:val="false"/>
                <w:i w:val="false"/>
                <w:iCs w:val="false"/>
                <w:color w:val="1a1a1a"/>
                <w:sz w:val="18"/>
                <w:szCs w:val="18"/>
              </w:rPr>
              <w:t xml:space="preserve">0.9786</w:t>
            </w:r>
          </w:p>
        </w:tc>
        <w:tc>
          <w:tcPr>
            <w:tcW w:type="dxa" w:w="1380"/>
            <w:shd w:fill="f2f5fa" w:color="auto" w:val="clear"/>
            <w:tcMar>
              <w:top w:type="dxa" w:w="40"/>
              <w:left w:type="dxa" w:w="90"/>
              <w:bottom w:type="dxa" w:w="40"/>
              <w:right w:type="dxa" w:w="90"/>
            </w:tcMar>
            <w:vAlign w:val="center"/>
          </w:tcPr>
          <w:p>
            <w:pPr>
              <w:spacing w:after="0" w:line="240"/>
              <w:jc w:val="left"/>
            </w:pPr>
            <w:r>
              <w:rPr>
                <w:rFonts w:ascii="Times New Roman" w:cs="Times New Roman" w:eastAsia="Times New Roman" w:hAnsi="Times New Roman"/>
                <w:b w:val="false"/>
                <w:bCs w:val="false"/>
                <w:i w:val="false"/>
                <w:iCs w:val="false"/>
                <w:color w:val="1a1a1a"/>
                <w:sz w:val="18"/>
                <w:szCs w:val="18"/>
              </w:rPr>
              <w:t xml:space="preserve">0.9630</w:t>
            </w:r>
          </w:p>
        </w:tc>
      </w:tr>
    </w:tbl>
    <w:p>
      <w:pPr>
        <w:spacing w:after="160" w:before="60"/>
        <w:jc w:val="left"/>
      </w:pPr>
      <w:r>
        <w:rPr>
          <w:rFonts w:ascii="Times New Roman" w:cs="Times New Roman" w:eastAsia="Times New Roman" w:hAnsi="Times New Roman"/>
          <w:b w:val="false"/>
          <w:bCs w:val="false"/>
          <w:i/>
          <w:iCs/>
          <w:color w:val="555555"/>
          <w:sz w:val="17"/>
          <w:szCs w:val="17"/>
        </w:rPr>
        <w:t xml:space="preserve">Macro-OVR weights every class equally; micro pools all decisions and is dominated by the well-represented Low/Medium bands.</w:t>
      </w:r>
    </w:p>
    <w:p>
      <w:pPr>
        <w:spacing w:after="120" w:before="0" w:line="276"/>
        <w:jc w:val="both"/>
      </w:pPr>
      <w:r>
        <w:rPr>
          <w:rFonts w:ascii="Times New Roman" w:cs="Times New Roman" w:eastAsia="Times New Roman" w:hAnsi="Times New Roman"/>
          <w:b w:val="false"/>
          <w:bCs w:val="false"/>
          <w:i w:val="false"/>
          <w:iCs w:val="false"/>
          <w:color w:val="1a1a1a"/>
          <w:sz w:val="21"/>
          <w:szCs w:val="21"/>
        </w:rPr>
        <w:t xml:space="preserve">For a three-class problem with a 9.2% minority (High risk), the macro one-vs-rest average is the appropriate and more conservative summary: it does not let the easy majority classes mask minority-class behavior. It also happens to be the less flattering choice for the deployed MLP, since under it logistic regression marginally edges the MLP on both AUCs — the finding the paper reports in §IV-D and Table VII. Publishing the micro-based all-models curve alongside Table VII would have shown the MLP ahead on AUC, directly contradicting the text. The figure was therefore excluded and the macro-OVR convention used consistently throughout. Per-class curves for the deployed MLP are still shown (Fig. 5), whose per-class AUCs average to the same macro value.</w:t>
      </w:r>
    </w:p>
    <w:p>
      <w:pPr>
        <w:keepNext/>
        <w:pBdr>
          <w:bottom w:val="single" w:color="1f3b73" w:sz="6" w:space="4"/>
        </w:pBdr>
        <w:spacing w:after="120" w:before="260"/>
      </w:pPr>
      <w:r>
        <w:rPr>
          <w:rFonts w:ascii="Times New Roman" w:cs="Times New Roman" w:eastAsia="Times New Roman" w:hAnsi="Times New Roman"/>
          <w:b/>
          <w:bCs/>
          <w:i w:val="false"/>
          <w:iCs w:val="false"/>
          <w:color w:val="1f3b73"/>
          <w:sz w:val="26"/>
          <w:szCs w:val="26"/>
        </w:rPr>
        <w:t xml:space="preserve">5.  Statistical Validation and the Preserved Non-Significant Result</w:t>
      </w:r>
    </w:p>
    <w:p>
      <w:pPr>
        <w:spacing w:after="120" w:before="0" w:line="276"/>
        <w:jc w:val="both"/>
      </w:pPr>
      <w:r>
        <w:rPr>
          <w:rFonts w:ascii="Times New Roman" w:cs="Times New Roman" w:eastAsia="Times New Roman" w:hAnsi="Times New Roman"/>
          <w:b w:val="false"/>
          <w:bCs w:val="false"/>
          <w:i w:val="false"/>
          <w:iCs w:val="false"/>
          <w:color w:val="1a1a1a"/>
          <w:sz w:val="21"/>
          <w:szCs w:val="21"/>
        </w:rPr>
        <w:t xml:space="preserve">The comparison the supervisor specifically asked to be reported honestly — MLP versus logistic regression — is not statistically significant, and the paper says so rather than engineering an apparent win. On the 600-case holdout, McNemar's test gives χ² = 2.70 on 24/13 discordant pairs (p = 0.100); against the random forest χ² = 1.83 (p = 0.176); only the decision tree is beaten significantly (χ² = 48.67, p &lt; 0.001). A Holm–Bonferroni correction across the three comparisons leaves every decision unchanged. The bootstrap intervals overlap heavily and five-fold CV agrees with the holdout. Accordingly the paper frames the close comparisons as “no demonstrated difference,” explicitly an absence of demonstrated superiority rather than proof of equivalence, and retains the MLP for its probability outputs (which the occlusion explainer consumes) rather than on any claim of superior accuracy.</w:t>
      </w:r>
    </w:p>
    <w:p>
      <w:pPr>
        <w:keepNext/>
        <w:pBdr>
          <w:bottom w:val="single" w:color="1f3b73" w:sz="6" w:space="4"/>
        </w:pBdr>
        <w:spacing w:after="120" w:before="260"/>
      </w:pPr>
      <w:r>
        <w:rPr>
          <w:rFonts w:ascii="Times New Roman" w:cs="Times New Roman" w:eastAsia="Times New Roman" w:hAnsi="Times New Roman"/>
          <w:b/>
          <w:bCs/>
          <w:i w:val="false"/>
          <w:iCs w:val="false"/>
          <w:color w:val="1f3b73"/>
          <w:sz w:val="26"/>
          <w:szCs w:val="26"/>
        </w:rPr>
        <w:t xml:space="preserve">6.  Preserved Honest Findings and Limitations</w:t>
      </w:r>
    </w:p>
    <w:p>
      <w:pPr>
        <w:spacing w:after="120" w:before="0" w:line="276"/>
        <w:jc w:val="both"/>
      </w:pPr>
      <w:r>
        <w:rPr>
          <w:rFonts w:ascii="Times New Roman" w:cs="Times New Roman" w:eastAsia="Times New Roman" w:hAnsi="Times New Roman"/>
          <w:b w:val="false"/>
          <w:bCs w:val="false"/>
          <w:i w:val="false"/>
          <w:iCs w:val="false"/>
          <w:color w:val="1a1a1a"/>
          <w:sz w:val="21"/>
          <w:szCs w:val="21"/>
        </w:rPr>
        <w:t xml:space="preserve">None of the following was softened or removed to flatter the system; each is stated in the paper with its source in Section 3 above.</w:t>
      </w:r>
    </w:p>
    <w:p>
      <w:pPr>
        <w:pStyle w:val="ListParagraph"/>
        <w:numPr>
          <w:ilvl w:val="0"/>
          <w:numId w:val="1"/>
        </w:numPr>
        <w:spacing w:after="70" w:line="268"/>
        <w:jc w:val="left"/>
      </w:pPr>
      <w:r>
        <w:rPr>
          <w:rFonts w:ascii="Times New Roman" w:cs="Times New Roman" w:eastAsia="Times New Roman" w:hAnsi="Times New Roman"/>
          <w:b/>
          <w:bCs/>
          <w:i w:val="false"/>
          <w:iCs w:val="false"/>
          <w:color w:val="1a1a1a"/>
          <w:sz w:val="20"/>
          <w:szCs w:val="20"/>
        </w:rPr>
        <w:t xml:space="preserve">Guardrail dominance (high severity). </w:t>
      </w:r>
      <w:r>
        <w:rPr>
          <w:rFonts w:ascii="Times New Roman" w:cs="Times New Roman" w:eastAsia="Times New Roman" w:hAnsi="Times New Roman"/>
          <w:b w:val="false"/>
          <w:bCs w:val="false"/>
          <w:i w:val="false"/>
          <w:iCs w:val="false"/>
          <w:color w:val="1a1a1a"/>
          <w:sz w:val="20"/>
          <w:szCs w:val="20"/>
        </w:rPr>
        <w:t xml:space="preserve">The deterministic guardrail escalates 60.6% of users to High risk and is ≥ the cluster signal for 100% of users, so the learned model decides the outcome for only a minority. The 91% accuracy is therefore a property of one component, not of end-to-end decision quality.</w:t>
      </w:r>
    </w:p>
    <w:p>
      <w:pPr>
        <w:pStyle w:val="ListParagraph"/>
        <w:numPr>
          <w:ilvl w:val="0"/>
          <w:numId w:val="1"/>
        </w:numPr>
        <w:spacing w:after="70" w:line="268"/>
        <w:jc w:val="left"/>
      </w:pPr>
      <w:r>
        <w:rPr>
          <w:rFonts w:ascii="Times New Roman" w:cs="Times New Roman" w:eastAsia="Times New Roman" w:hAnsi="Times New Roman"/>
          <w:b/>
          <w:bCs/>
          <w:i w:val="false"/>
          <w:iCs w:val="false"/>
          <w:color w:val="1a1a1a"/>
          <w:sz w:val="20"/>
          <w:szCs w:val="20"/>
        </w:rPr>
        <w:t xml:space="preserve">Residual arithmetic leakage (high). </w:t>
      </w:r>
      <w:r>
        <w:rPr>
          <w:rFonts w:ascii="Times New Roman" w:cs="Times New Roman" w:eastAsia="Times New Roman" w:hAnsi="Times New Roman"/>
          <w:b w:val="false"/>
          <w:bCs w:val="false"/>
          <w:i w:val="false"/>
          <w:iCs w:val="false"/>
          <w:color w:val="1a1a1a"/>
          <w:sz w:val="20"/>
          <w:szCs w:val="20"/>
        </w:rPr>
        <w:t xml:space="preserve">Two of the three clustering features (surplus, expense_ratio) are exact algebraic functions of the classifier inputs, so column-level separation does not remove leakage; only debt_pressure is truly withheld. This is disclosed, not concealed.</w:t>
      </w:r>
    </w:p>
    <w:p>
      <w:pPr>
        <w:pStyle w:val="ListParagraph"/>
        <w:numPr>
          <w:ilvl w:val="0"/>
          <w:numId w:val="1"/>
        </w:numPr>
        <w:spacing w:after="70" w:line="268"/>
        <w:jc w:val="left"/>
      </w:pPr>
      <w:r>
        <w:rPr>
          <w:rFonts w:ascii="Times New Roman" w:cs="Times New Roman" w:eastAsia="Times New Roman" w:hAnsi="Times New Roman"/>
          <w:b/>
          <w:bCs/>
          <w:i w:val="false"/>
          <w:iCs w:val="false"/>
          <w:color w:val="1a1a1a"/>
          <w:sz w:val="20"/>
          <w:szCs w:val="20"/>
        </w:rPr>
        <w:t xml:space="preserve">Proxy labels, no ground truth (high). </w:t>
      </w:r>
      <w:r>
        <w:rPr>
          <w:rFonts w:ascii="Times New Roman" w:cs="Times New Roman" w:eastAsia="Times New Roman" w:hAnsi="Times New Roman"/>
          <w:b w:val="false"/>
          <w:bCs w:val="false"/>
          <w:i w:val="false"/>
          <w:iCs w:val="false"/>
          <w:color w:val="1a1a1a"/>
          <w:sz w:val="20"/>
          <w:szCs w:val="20"/>
        </w:rPr>
        <w:t xml:space="preserve">Labels come from clustering, not recorded default/loss outcomes; no real-world predictive validity is claimed.</w:t>
      </w:r>
    </w:p>
    <w:p>
      <w:pPr>
        <w:pStyle w:val="ListParagraph"/>
        <w:numPr>
          <w:ilvl w:val="0"/>
          <w:numId w:val="1"/>
        </w:numPr>
        <w:spacing w:after="70" w:line="268"/>
        <w:jc w:val="left"/>
      </w:pPr>
      <w:r>
        <w:rPr>
          <w:rFonts w:ascii="Times New Roman" w:cs="Times New Roman" w:eastAsia="Times New Roman" w:hAnsi="Times New Roman"/>
          <w:b/>
          <w:bCs/>
          <w:i w:val="false"/>
          <w:iCs w:val="false"/>
          <w:color w:val="1a1a1a"/>
          <w:sz w:val="20"/>
          <w:szCs w:val="20"/>
        </w:rPr>
        <w:t xml:space="preserve">Non-significant model selection (medium). </w:t>
      </w:r>
      <w:r>
        <w:rPr>
          <w:rFonts w:ascii="Times New Roman" w:cs="Times New Roman" w:eastAsia="Times New Roman" w:hAnsi="Times New Roman"/>
          <w:b w:val="false"/>
          <w:bCs w:val="false"/>
          <w:i w:val="false"/>
          <w:iCs w:val="false"/>
          <w:color w:val="1a1a1a"/>
          <w:sz w:val="20"/>
          <w:szCs w:val="20"/>
        </w:rPr>
        <w:t xml:space="preserve">The MLP is not statistically better than logistic regression, which edges it on AUC.</w:t>
      </w:r>
    </w:p>
    <w:p>
      <w:pPr>
        <w:pStyle w:val="ListParagraph"/>
        <w:numPr>
          <w:ilvl w:val="0"/>
          <w:numId w:val="1"/>
        </w:numPr>
        <w:spacing w:after="70" w:line="268"/>
        <w:jc w:val="left"/>
      </w:pPr>
      <w:r>
        <w:rPr>
          <w:rFonts w:ascii="Times New Roman" w:cs="Times New Roman" w:eastAsia="Times New Roman" w:hAnsi="Times New Roman"/>
          <w:b/>
          <w:bCs/>
          <w:i w:val="false"/>
          <w:iCs w:val="false"/>
          <w:color w:val="1a1a1a"/>
          <w:sz w:val="20"/>
          <w:szCs w:val="20"/>
        </w:rPr>
        <w:t xml:space="preserve">Backtest indexing error (medium). </w:t>
      </w:r>
      <w:r>
        <w:rPr>
          <w:rFonts w:ascii="Times New Roman" w:cs="Times New Roman" w:eastAsia="Times New Roman" w:hAnsi="Times New Roman"/>
          <w:b w:val="false"/>
          <w:bCs w:val="false"/>
          <w:i w:val="false"/>
          <w:iCs w:val="false"/>
          <w:color w:val="1a1a1a"/>
          <w:sz w:val="20"/>
          <w:szCs w:val="20"/>
        </w:rPr>
        <w:t xml:space="preserve">The original ROIs were inflated by an off-by-one; corrected values are used and both are shown side by side (Table IX).</w:t>
      </w:r>
    </w:p>
    <w:p>
      <w:pPr>
        <w:pStyle w:val="ListParagraph"/>
        <w:numPr>
          <w:ilvl w:val="0"/>
          <w:numId w:val="1"/>
        </w:numPr>
        <w:spacing w:after="70" w:line="268"/>
        <w:jc w:val="left"/>
      </w:pPr>
      <w:r>
        <w:rPr>
          <w:rFonts w:ascii="Times New Roman" w:cs="Times New Roman" w:eastAsia="Times New Roman" w:hAnsi="Times New Roman"/>
          <w:b/>
          <w:bCs/>
          <w:i w:val="false"/>
          <w:iCs w:val="false"/>
          <w:color w:val="1a1a1a"/>
          <w:sz w:val="20"/>
          <w:szCs w:val="20"/>
        </w:rPr>
        <w:t xml:space="preserve">Entity leakage in the split (medium). </w:t>
      </w:r>
      <w:r>
        <w:rPr>
          <w:rFonts w:ascii="Times New Roman" w:cs="Times New Roman" w:eastAsia="Times New Roman" w:hAnsi="Times New Roman"/>
          <w:b w:val="false"/>
          <w:bCs w:val="false"/>
          <w:i w:val="false"/>
          <w:iCs w:val="false"/>
          <w:color w:val="1a1a1a"/>
          <w:sz w:val="20"/>
          <w:szCs w:val="20"/>
        </w:rPr>
        <w:t xml:space="preserve">A row-level split over 944 unique users among 3,000 rows can place a user in both partitions, so generalization may be overstated.</w:t>
      </w:r>
    </w:p>
    <w:p>
      <w:pPr>
        <w:pStyle w:val="ListParagraph"/>
        <w:numPr>
          <w:ilvl w:val="0"/>
          <w:numId w:val="1"/>
        </w:numPr>
        <w:spacing w:after="70" w:line="268"/>
        <w:jc w:val="left"/>
      </w:pPr>
      <w:r>
        <w:rPr>
          <w:rFonts w:ascii="Times New Roman" w:cs="Times New Roman" w:eastAsia="Times New Roman" w:hAnsi="Times New Roman"/>
          <w:b/>
          <w:bCs/>
          <w:i w:val="false"/>
          <w:iCs w:val="false"/>
          <w:color w:val="1a1a1a"/>
          <w:sz w:val="20"/>
          <w:szCs w:val="20"/>
        </w:rPr>
        <w:t xml:space="preserve">Façade layer / simulated ledger (low–med). </w:t>
      </w:r>
      <w:r>
        <w:rPr>
          <w:rFonts w:ascii="Times New Roman" w:cs="Times New Roman" w:eastAsia="Times New Roman" w:hAnsi="Times New Roman"/>
          <w:b w:val="false"/>
          <w:bCs w:val="false"/>
          <w:i w:val="false"/>
          <w:iCs w:val="false"/>
          <w:color w:val="1a1a1a"/>
          <w:sz w:val="20"/>
          <w:szCs w:val="20"/>
        </w:rPr>
        <w:t xml:space="preserve">Part of the source tree is a not-yet-extracted presentation layer, and the SHA-256 audit ledger is in-memory, not a deployed chain.</w:t>
      </w:r>
    </w:p>
    <w:p>
      <w:pPr>
        <w:keepNext/>
        <w:pBdr>
          <w:bottom w:val="single" w:color="1f3b73" w:sz="6" w:space="4"/>
        </w:pBdr>
        <w:spacing w:after="120" w:before="260"/>
      </w:pPr>
      <w:r>
        <w:rPr>
          <w:rFonts w:ascii="Times New Roman" w:cs="Times New Roman" w:eastAsia="Times New Roman" w:hAnsi="Times New Roman"/>
          <w:b/>
          <w:bCs/>
          <w:i w:val="false"/>
          <w:iCs w:val="false"/>
          <w:color w:val="1f3b73"/>
          <w:sz w:val="26"/>
          <w:szCs w:val="26"/>
        </w:rPr>
        <w:t xml:space="preserve">7.  Anti-Fabrication Statement</w:t>
      </w:r>
    </w:p>
    <w:p>
      <w:pPr>
        <w:spacing w:after="120" w:before="0" w:line="276"/>
        <w:jc w:val="both"/>
      </w:pPr>
      <w:r>
        <w:rPr>
          <w:rFonts w:ascii="Times New Roman" w:cs="Times New Roman" w:eastAsia="Times New Roman" w:hAnsi="Times New Roman"/>
          <w:b w:val="false"/>
          <w:bCs w:val="false"/>
          <w:i w:val="false"/>
          <w:iCs w:val="false"/>
          <w:color w:val="1a1a1a"/>
          <w:sz w:val="21"/>
          <w:szCs w:val="21"/>
        </w:rPr>
        <w:t xml:space="preserve">To the standard set for this revision: no experiments, results, statistical values, confusion matrices, references, datasets, or methodological details were invented. Every quantity in the paper reproduces a value in the artifacts listed in Section 3, transformed only by rounding to the displayed precision. No numerical value was altered to favor the system, and no unfavorable result was removed — the guardrail-dominance, leakage, non-significance, and ROI-correction findings are reported prominently. The 22-entry reference list is the author-supplied verified list and was not substituted with machine-generated citations; the review only checked internal consistency, completeness of in-text citations, and IEEE formatting. No claim is made that the paper is guaranteed to be accepted.</w:t>
      </w:r>
    </w:p>
    <w:p>
      <w:pPr>
        <w:keepNext/>
        <w:pBdr>
          <w:bottom w:val="single" w:color="1f3b73" w:sz="6" w:space="4"/>
        </w:pBdr>
        <w:spacing w:after="120" w:before="260"/>
      </w:pPr>
      <w:r>
        <w:rPr>
          <w:rFonts w:ascii="Times New Roman" w:cs="Times New Roman" w:eastAsia="Times New Roman" w:hAnsi="Times New Roman"/>
          <w:b/>
          <w:bCs/>
          <w:i w:val="false"/>
          <w:iCs w:val="false"/>
          <w:color w:val="1f3b73"/>
          <w:sz w:val="26"/>
          <w:szCs w:val="26"/>
        </w:rPr>
        <w:t xml:space="preserve">8.  Outstanding Items (Require Author Input)</w:t>
      </w:r>
    </w:p>
    <w:p>
      <w:pPr>
        <w:spacing w:after="120" w:before="0" w:line="276"/>
        <w:jc w:val="both"/>
      </w:pPr>
      <w:r>
        <w:rPr>
          <w:rFonts w:ascii="Times New Roman" w:cs="Times New Roman" w:eastAsia="Times New Roman" w:hAnsi="Times New Roman"/>
          <w:b w:val="false"/>
          <w:bCs w:val="false"/>
          <w:i w:val="false"/>
          <w:iCs w:val="false"/>
          <w:color w:val="1a1a1a"/>
          <w:sz w:val="21"/>
          <w:szCs w:val="21"/>
        </w:rPr>
        <w:t xml:space="preserve">Four identity fields on the title page remain intentionally unfilled and are the only blockers to a final submission copy:</w:t>
      </w:r>
    </w:p>
    <w:p>
      <w:pPr>
        <w:pStyle w:val="ListParagraph"/>
        <w:numPr>
          <w:ilvl w:val="0"/>
          <w:numId w:val="1"/>
        </w:numPr>
        <w:spacing w:after="70" w:line="268"/>
        <w:jc w:val="left"/>
      </w:pPr>
      <w:r>
        <w:rPr>
          <w:rFonts w:ascii="Times New Roman" w:cs="Times New Roman" w:eastAsia="Times New Roman" w:hAnsi="Times New Roman"/>
          <w:b w:val="false"/>
          <w:bCs w:val="false"/>
          <w:i w:val="false"/>
          <w:iCs w:val="false"/>
          <w:color w:val="1a1a1a"/>
          <w:sz w:val="20"/>
          <w:szCs w:val="20"/>
        </w:rPr>
        <w:t xml:space="preserve">Author name(s)</w:t>
      </w:r>
    </w:p>
    <w:p>
      <w:pPr>
        <w:pStyle w:val="ListParagraph"/>
        <w:numPr>
          <w:ilvl w:val="0"/>
          <w:numId w:val="1"/>
        </w:numPr>
        <w:spacing w:after="70" w:line="268"/>
        <w:jc w:val="left"/>
      </w:pPr>
      <w:r>
        <w:rPr>
          <w:rFonts w:ascii="Times New Roman" w:cs="Times New Roman" w:eastAsia="Times New Roman" w:hAnsi="Times New Roman"/>
          <w:b w:val="false"/>
          <w:bCs w:val="false"/>
          <w:i w:val="false"/>
          <w:iCs w:val="false"/>
          <w:color w:val="1a1a1a"/>
          <w:sz w:val="20"/>
          <w:szCs w:val="20"/>
        </w:rPr>
        <w:t xml:space="preserve">Roll number(s)</w:t>
      </w:r>
    </w:p>
    <w:p>
      <w:pPr>
        <w:pStyle w:val="ListParagraph"/>
        <w:numPr>
          <w:ilvl w:val="0"/>
          <w:numId w:val="1"/>
        </w:numPr>
        <w:spacing w:after="70" w:line="268"/>
        <w:jc w:val="left"/>
      </w:pPr>
      <w:r>
        <w:rPr>
          <w:rFonts w:ascii="Times New Roman" w:cs="Times New Roman" w:eastAsia="Times New Roman" w:hAnsi="Times New Roman"/>
          <w:b w:val="false"/>
          <w:bCs w:val="false"/>
          <w:i w:val="false"/>
          <w:iCs w:val="false"/>
          <w:color w:val="1a1a1a"/>
          <w:sz w:val="20"/>
          <w:szCs w:val="20"/>
        </w:rPr>
        <w:t xml:space="preserve">Session</w:t>
      </w:r>
    </w:p>
    <w:p>
      <w:pPr>
        <w:pStyle w:val="ListParagraph"/>
        <w:numPr>
          <w:ilvl w:val="0"/>
          <w:numId w:val="1"/>
        </w:numPr>
        <w:spacing w:after="70" w:line="268"/>
        <w:jc w:val="left"/>
      </w:pPr>
      <w:r>
        <w:rPr>
          <w:rFonts w:ascii="Times New Roman" w:cs="Times New Roman" w:eastAsia="Times New Roman" w:hAnsi="Times New Roman"/>
          <w:b w:val="false"/>
          <w:bCs w:val="false"/>
          <w:i w:val="false"/>
          <w:iCs w:val="false"/>
          <w:color w:val="1a1a1a"/>
          <w:sz w:val="20"/>
          <w:szCs w:val="20"/>
        </w:rPr>
        <w:t xml:space="preserve">Supervisor name</w:t>
      </w:r>
    </w:p>
    <w:p>
      <w:pPr>
        <w:spacing w:after="120" w:before="0" w:line="276"/>
        <w:jc w:val="both"/>
      </w:pPr>
      <w:r>
        <w:rPr>
          <w:rFonts w:ascii="Times New Roman" w:cs="Times New Roman" w:eastAsia="Times New Roman" w:hAnsi="Times New Roman"/>
          <w:b w:val="false"/>
          <w:bCs w:val="false"/>
          <w:i w:val="false"/>
          <w:iCs w:val="false"/>
          <w:color w:val="555555"/>
          <w:sz w:val="19"/>
          <w:szCs w:val="19"/>
        </w:rPr>
        <w:t xml:space="preserve">Provide these and they will be inserted into the front matter; no other content change is pending.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Revision &amp; Anti-Fabrication Audit Report</dc:title>
  <dc:creator>DeFi AI Assistant project</dc:creator>
  <cp:lastModifiedBy>Un-named</cp:lastModifiedBy>
  <cp:revision>1</cp:revision>
  <dcterms:created xsi:type="dcterms:W3CDTF">2026-08-27T12:29:36.743Z</dcterms:created>
  <dcterms:modified xsi:type="dcterms:W3CDTF">2026-08-27T12:29:36.743Z</dcterms:modified>
</cp:coreProperties>
</file>

<file path=docProps/custom.xml><?xml version="1.0" encoding="utf-8"?>
<Properties xmlns="http://schemas.openxmlformats.org/officeDocument/2006/custom-properties" xmlns:vt="http://schemas.openxmlformats.org/officeDocument/2006/docPropsVTypes"/>
</file>