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Calibri" w:hAnsi="Calibri" w:eastAsia="Calibri"/>
          <w:b/>
          <w:color w:val="CE2026"/>
          <w:sz w:val="20"/>
        </w:rPr>
        <w:t>PORIRUA LOCALITY · TE WĀHI TIAKI TĀTOU</w:t>
      </w:r>
    </w:p>
    <w:p>
      <w:pPr>
        <w:spacing w:after="80"/>
      </w:pPr>
      <w:r>
        <w:rPr>
          <w:rFonts w:ascii="Georgia" w:hAnsi="Georgia" w:eastAsia="Georgia"/>
          <w:b/>
          <w:color w:val="60164C"/>
          <w:sz w:val="64"/>
        </w:rPr>
        <w:t>Your Porirua Directory</w:t>
      </w:r>
    </w:p>
    <w:p>
      <w:pPr>
        <w:spacing w:after="280"/>
      </w:pPr>
      <w:r>
        <w:rPr>
          <w:rFonts w:ascii="Georgia" w:hAnsi="Georgia" w:eastAsia="Georgia"/>
          <w:b/>
          <w:color w:val="60164C"/>
          <w:sz w:val="36"/>
        </w:rPr>
        <w:t>Scope of Work</w:t>
      </w:r>
    </w:p>
    <w:p>
      <w:pPr>
        <w:spacing w:after="320" w:before="0" w:line="240" w:lineRule="auto"/>
      </w:pPr>
      <w:r>
        <w:rPr>
          <w:rFonts w:ascii="Calibri" w:hAnsi="Calibri" w:eastAsia="Calibri"/>
          <w:b w:val="0"/>
          <w:color w:val="3C1B30"/>
          <w:sz w:val="24"/>
        </w:rPr>
        <w:t>A simple, trustworthy online directory so people in Porirua can find help, connect with community groups, and find local organisations — delivered in two clear phases.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56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</w:r>
          </w:p>
        </w:tc>
        <w:tc>
          <w:tcPr>
            <w:tcW w:type="dxa" w:w="5760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Prepared for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Porirua Locality team</w:t>
            </w:r>
          </w:p>
        </w:tc>
      </w:tr>
      <w:tr>
        <w:tc>
          <w:tcPr>
            <w:tcW w:type="dxa" w:w="3456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Delivered by</w:t>
            </w:r>
          </w:p>
        </w:tc>
        <w:tc>
          <w:tcPr>
            <w:tcW w:type="dxa" w:w="5760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Coshop Limited (NZBN 9429051598860 · Co. 8906928)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Version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2.0 · July 2026</w:t>
            </w:r>
          </w:p>
        </w:tc>
      </w:tr>
      <w:tr>
        <w:tc>
          <w:tcPr>
            <w:tcW w:type="dxa" w:w="3456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Timeline</w:t>
            </w:r>
          </w:p>
        </w:tc>
        <w:tc>
          <w:tcPr>
            <w:tcW w:type="dxa" w:w="5760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~5–6 weeks (MVP first)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Total budget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NZ$10,000</w:t>
            </w:r>
          </w:p>
        </w:tc>
      </w:tr>
      <w:tr>
        <w:tc>
          <w:tcPr>
            <w:tcW w:type="dxa" w:w="3456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Phase 1 — MVP</w:t>
            </w:r>
          </w:p>
        </w:tc>
        <w:tc>
          <w:tcPr>
            <w:tcW w:type="dxa" w:w="5760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NZ$5,000 · ~50 hours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Phase 2 — Iteration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NZ$5,000 · ~50 hours</w:t>
            </w:r>
          </w:p>
        </w:tc>
      </w:tr>
    </w:tbl>
    <w:p/>
    <w:p>
      <w:pPr>
        <w:spacing w:after="120" w:before="0" w:line="240" w:lineRule="auto"/>
      </w:pPr>
      <w:r>
        <w:rPr>
          <w:rFonts w:ascii="Calibri" w:hAnsi="Calibri" w:eastAsia="Calibri"/>
          <w:b/>
          <w:color w:val="8A677A"/>
          <w:sz w:val="20"/>
        </w:rPr>
        <w:t>Deliverables-focused scope</w:t>
      </w:r>
      <w:r>
        <w:rPr>
          <w:rFonts w:ascii="Calibri" w:hAnsi="Calibri" w:eastAsia="Calibri"/>
          <w:b w:val="0"/>
          <w:color w:val="8A677A"/>
          <w:sz w:val="20"/>
        </w:rPr>
        <w:t xml:space="preserve"> — what will be built, when, and for how much — without technical detail.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Contents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8A677A"/>
          <w:sz w:val="20"/>
        </w:rPr>
        <w:t>This scope sets out what the Porirua Locality team will receive in each phase, who it is for, and what success looks like.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8A677A"/>
          <w:sz w:val="18"/>
        </w:rPr>
        <w:t>Tip for Google Docs: after upload, place the cursor here and use Insert → Table of contents to refresh links from the headings below.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1. Delivery partner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2. Purpose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3. Why two phases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4. Phase 1 — MVP deliverables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5. Phase 2 — Iteration deliverables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6. Who it is for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7. What success looks like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8. What people will see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9. Data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10. Timeline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11. Budget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12. Not included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13. Assumptions</w:t>
      </w:r>
    </w:p>
    <w:p>
      <w:pPr>
        <w:spacing w:after="80"/>
      </w:pPr>
      <w:r>
        <w:rPr>
          <w:rFonts w:ascii="Calibri" w:hAnsi="Calibri" w:eastAsia="Calibri"/>
          <w:b/>
          <w:color w:val="60164C"/>
          <w:sz w:val="22"/>
        </w:rPr>
        <w:t>14. Approval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1. Delivery partner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3C1B30"/>
          <w:sz w:val="22"/>
        </w:rPr>
        <w:t xml:space="preserve">Work under this scope of work will be performed by </w:t>
      </w:r>
      <w:r>
        <w:rPr>
          <w:rFonts w:ascii="Calibri" w:hAnsi="Calibri" w:eastAsia="Calibri"/>
          <w:b/>
          <w:color w:val="3C1B30"/>
          <w:sz w:val="22"/>
        </w:rPr>
        <w:t>Coshop Limited</w:t>
      </w:r>
      <w:r>
        <w:rPr>
          <w:rFonts w:ascii="Calibri" w:hAnsi="Calibri" w:eastAsia="Calibri"/>
          <w:b w:val="0"/>
          <w:color w:val="3C1B30"/>
          <w:sz w:val="22"/>
        </w:rPr>
        <w:t>, a New Zealand limited company.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Legal name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Coshop Limited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NZBN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9429051598860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Companies Office number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8906928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Date registered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12 September 2023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Registered office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Wellington, New Zealand (current address on the Companies Register)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Website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coshop.nz</w:t>
            </w:r>
          </w:p>
        </w:tc>
      </w:tr>
    </w:tbl>
    <w:p/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3C1B30"/>
          <w:sz w:val="22"/>
        </w:rPr>
        <w:t xml:space="preserve">Coshop builds community-facing digital services — including the CoShop platform for local food hubs — and will design, build, and hand over </w:t>
      </w:r>
      <w:r>
        <w:rPr>
          <w:rFonts w:ascii="Calibri" w:hAnsi="Calibri" w:eastAsia="Calibri"/>
          <w:b/>
          <w:color w:val="3C1B30"/>
          <w:sz w:val="22"/>
        </w:rPr>
        <w:t>Your Porirua Directory</w:t>
      </w:r>
      <w:r>
        <w:rPr>
          <w:rFonts w:ascii="Calibri" w:hAnsi="Calibri" w:eastAsia="Calibri"/>
          <w:b w:val="0"/>
          <w:color w:val="3C1B30"/>
          <w:sz w:val="22"/>
        </w:rPr>
        <w:t xml:space="preserve"> under the phases and budget below.</w:t>
      </w:r>
    </w:p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2. Purpose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3C1B30"/>
          <w:sz w:val="22"/>
        </w:rPr>
        <w:t xml:space="preserve">Build a simple, trustworthy online directory so people in Porirua can </w:t>
      </w:r>
      <w:r>
        <w:rPr>
          <w:rFonts w:ascii="Calibri" w:hAnsi="Calibri" w:eastAsia="Calibri"/>
          <w:b/>
          <w:color w:val="3C1B30"/>
          <w:sz w:val="22"/>
        </w:rPr>
        <w:t>find help</w:t>
      </w:r>
      <w:r>
        <w:rPr>
          <w:rFonts w:ascii="Calibri" w:hAnsi="Calibri" w:eastAsia="Calibri"/>
          <w:b w:val="0"/>
          <w:color w:val="3C1B30"/>
          <w:sz w:val="22"/>
        </w:rPr>
        <w:t xml:space="preserve">, </w:t>
      </w:r>
      <w:r>
        <w:rPr>
          <w:rFonts w:ascii="Calibri" w:hAnsi="Calibri" w:eastAsia="Calibri"/>
          <w:b/>
          <w:color w:val="3C1B30"/>
          <w:sz w:val="22"/>
        </w:rPr>
        <w:t>connect with community groups</w:t>
      </w:r>
      <w:r>
        <w:rPr>
          <w:rFonts w:ascii="Calibri" w:hAnsi="Calibri" w:eastAsia="Calibri"/>
          <w:b w:val="0"/>
          <w:color w:val="3C1B30"/>
          <w:sz w:val="22"/>
        </w:rPr>
        <w:t xml:space="preserve">, and </w:t>
      </w:r>
      <w:r>
        <w:rPr>
          <w:rFonts w:ascii="Calibri" w:hAnsi="Calibri" w:eastAsia="Calibri"/>
          <w:b/>
          <w:color w:val="3C1B30"/>
          <w:sz w:val="22"/>
        </w:rPr>
        <w:t>find local organisations</w:t>
      </w:r>
      <w:r>
        <w:rPr>
          <w:rFonts w:ascii="Calibri" w:hAnsi="Calibri" w:eastAsia="Calibri"/>
          <w:b w:val="0"/>
          <w:color w:val="3C1B30"/>
          <w:sz w:val="22"/>
        </w:rPr>
        <w:t xml:space="preserve"> — marae, councils, Pātaka Kai, services, and similar — not only urgent crisis help.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3C1B30"/>
          <w:sz w:val="22"/>
        </w:rPr>
        <w:t>The directory brings together: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 xml:space="preserve">The </w:t>
      </w:r>
      <w:r>
        <w:rPr>
          <w:rFonts w:ascii="Calibri" w:hAnsi="Calibri" w:eastAsia="Calibri"/>
          <w:b/>
          <w:color w:val="3C1B30"/>
          <w:sz w:val="22"/>
        </w:rPr>
        <w:t>Porirua Community Connections Map</w:t>
      </w:r>
      <w:r>
        <w:rPr>
          <w:rFonts w:ascii="Calibri" w:hAnsi="Calibri" w:eastAsia="Calibri"/>
          <w:b w:val="0"/>
          <w:color w:val="3C1B30"/>
          <w:sz w:val="22"/>
        </w:rPr>
        <w:t xml:space="preserve"> — local groups and services the community already knows and trusts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 xml:space="preserve">The </w:t>
      </w:r>
      <w:r>
        <w:rPr>
          <w:rFonts w:ascii="Calibri" w:hAnsi="Calibri" w:eastAsia="Calibri"/>
          <w:b/>
          <w:color w:val="3C1B30"/>
          <w:sz w:val="22"/>
        </w:rPr>
        <w:t>New Zealand Family Services Directory</w:t>
      </w:r>
      <w:r>
        <w:rPr>
          <w:rFonts w:ascii="Calibri" w:hAnsi="Calibri" w:eastAsia="Calibri"/>
          <w:b w:val="0"/>
          <w:color w:val="3C1B30"/>
          <w:sz w:val="22"/>
        </w:rPr>
        <w:t xml:space="preserve"> — the government’s national register of social services, filtered to Porirua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3C1B30"/>
          <w:sz w:val="22"/>
        </w:rPr>
        <w:t xml:space="preserve">It should feel easy on a phone, use plain language, and stay accurate for </w:t>
      </w:r>
      <w:r>
        <w:rPr>
          <w:rFonts w:ascii="Calibri" w:hAnsi="Calibri" w:eastAsia="Calibri"/>
          <w:b/>
          <w:color w:val="3C1B30"/>
          <w:sz w:val="22"/>
        </w:rPr>
        <w:t>at least three years</w:t>
      </w:r>
      <w:r>
        <w:rPr>
          <w:rFonts w:ascii="Calibri" w:hAnsi="Calibri" w:eastAsia="Calibri"/>
          <w:b w:val="0"/>
          <w:color w:val="3C1B30"/>
          <w:sz w:val="22"/>
        </w:rPr>
        <w:t xml:space="preserve"> with modest ongoing effort from the Porirua Locality team.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F1F0" w:val="clear"/>
          </w:tcPr>
          <w:p>
            <w:r/>
            <w:r>
              <w:rPr>
                <w:rFonts w:ascii="Calibri" w:hAnsi="Calibri" w:eastAsia="Calibri"/>
                <w:b w:val="0"/>
                <w:color w:val="60164C"/>
                <w:sz w:val="20"/>
              </w:rPr>
              <w:t xml:space="preserve">Delivery is </w:t>
            </w:r>
            <w:r>
              <w:rPr>
                <w:rFonts w:ascii="Calibri" w:hAnsi="Calibri" w:eastAsia="Calibri"/>
                <w:b/>
                <w:color w:val="60164C"/>
                <w:sz w:val="20"/>
              </w:rPr>
              <w:t>two phases</w:t>
            </w:r>
            <w:r>
              <w:rPr>
                <w:rFonts w:ascii="Calibri" w:hAnsi="Calibri" w:eastAsia="Calibri"/>
                <w:b w:val="0"/>
                <w:color w:val="60164C"/>
                <w:sz w:val="20"/>
              </w:rPr>
              <w:t>: a testable MVP at half the budget goes live first; the second half funds changes from real feedback and completes the admin and update layer.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3. Why two phases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249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Budget</w:t>
            </w:r>
          </w:p>
        </w:tc>
        <w:tc>
          <w:tcPr>
            <w:tcW w:type="dxa" w:w="3249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Goal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Phase 1 — MVP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~50 hrs / NZ$5,000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A working directory people can use and test</w:t>
            </w:r>
          </w:p>
        </w:tc>
      </w:tr>
      <w:tr>
        <w:tc>
          <w:tcPr>
            <w:tcW w:type="dxa" w:w="3249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Phase 2 — Iteration</w:t>
            </w:r>
          </w:p>
        </w:tc>
        <w:tc>
          <w:tcPr>
            <w:tcW w:type="dxa" w:w="3249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~50 hrs / NZ$5,000</w:t>
            </w:r>
          </w:p>
        </w:tc>
        <w:tc>
          <w:tcPr>
            <w:tcW w:type="dxa" w:w="3249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Improve from feedback; add admin, automation, and polish</w:t>
            </w:r>
          </w:p>
        </w:tc>
      </w:tr>
    </w:tbl>
    <w:p/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8A677A"/>
          <w:sz w:val="20"/>
        </w:rPr>
        <w:t>Real users — help-seekers and the Locality team — should shape categories, layout, and content before we invest in the full editing and update setup.</w:t>
      </w:r>
    </w:p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4. Phase 1 — MVP deliverables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F1F0" w:val="clear"/>
          </w:tcPr>
          <w:p>
            <w:r/>
            <w:r>
              <w:rPr>
                <w:rFonts w:ascii="Calibri" w:hAnsi="Calibri" w:eastAsia="Calibri"/>
                <w:b w:val="0"/>
                <w:color w:val="60164C"/>
                <w:sz w:val="20"/>
              </w:rPr>
              <w:t>~50 hours / NZ$5,000 · ~2–3 weeks to soft launch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Georgia" w:hAnsi="Georgia" w:eastAsia="Georgia"/>
          <w:b/>
          <w:color w:val="60164C"/>
          <w:sz w:val="26"/>
        </w:rPr>
        <w:t>What people can use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3C1B30"/>
          <w:sz w:val="22"/>
        </w:rPr>
        <w:t>Public website</w:t>
      </w:r>
      <w:r>
        <w:rPr>
          <w:rFonts w:ascii="Calibri" w:hAnsi="Calibri" w:eastAsia="Calibri"/>
          <w:b w:val="0"/>
          <w:color w:val="3C1B30"/>
          <w:sz w:val="22"/>
        </w:rPr>
        <w:t xml:space="preserve"> — shareable URL, works well on phones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3C1B30"/>
          <w:sz w:val="22"/>
        </w:rPr>
        <w:t>Need-based categories</w:t>
      </w:r>
      <w:r>
        <w:rPr>
          <w:rFonts w:ascii="Calibri" w:hAnsi="Calibri" w:eastAsia="Calibri"/>
          <w:b w:val="0"/>
          <w:color w:val="3C1B30"/>
          <w:sz w:val="22"/>
        </w:rPr>
        <w:t xml:space="preserve">, </w:t>
      </w:r>
      <w:r>
        <w:rPr>
          <w:rFonts w:ascii="Calibri" w:hAnsi="Calibri" w:eastAsia="Calibri"/>
          <w:b/>
          <w:color w:val="3C1B30"/>
          <w:sz w:val="22"/>
        </w:rPr>
        <w:t>search</w:t>
      </w:r>
      <w:r>
        <w:rPr>
          <w:rFonts w:ascii="Calibri" w:hAnsi="Calibri" w:eastAsia="Calibri"/>
          <w:b w:val="0"/>
          <w:color w:val="3C1B30"/>
          <w:sz w:val="22"/>
        </w:rPr>
        <w:t xml:space="preserve">, </w:t>
      </w:r>
      <w:r>
        <w:rPr>
          <w:rFonts w:ascii="Calibri" w:hAnsi="Calibri" w:eastAsia="Calibri"/>
          <w:b/>
          <w:color w:val="3C1B30"/>
          <w:sz w:val="22"/>
        </w:rPr>
        <w:t>map</w:t>
      </w:r>
      <w:r>
        <w:rPr>
          <w:rFonts w:ascii="Calibri" w:hAnsi="Calibri" w:eastAsia="Calibri"/>
          <w:b w:val="0"/>
          <w:color w:val="3C1B30"/>
          <w:sz w:val="22"/>
        </w:rPr>
        <w:t xml:space="preserve">, and </w:t>
      </w:r>
      <w:r>
        <w:rPr>
          <w:rFonts w:ascii="Calibri" w:hAnsi="Calibri" w:eastAsia="Calibri"/>
          <w:b/>
          <w:color w:val="3C1B30"/>
          <w:sz w:val="22"/>
        </w:rPr>
        <w:t>crisis numbers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3C1B30"/>
          <w:sz w:val="22"/>
        </w:rPr>
        <w:t>Combined listings</w:t>
      </w:r>
      <w:r>
        <w:rPr>
          <w:rFonts w:ascii="Calibri" w:hAnsi="Calibri" w:eastAsia="Calibri"/>
          <w:b w:val="0"/>
          <w:color w:val="3C1B30"/>
          <w:sz w:val="22"/>
        </w:rPr>
        <w:t xml:space="preserve"> from the Connections Map and the Family Services Directory (Porirua only)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3C1B30"/>
          <w:sz w:val="22"/>
        </w:rPr>
        <w:t>Clear service cards</w:t>
      </w:r>
      <w:r>
        <w:rPr>
          <w:rFonts w:ascii="Calibri" w:hAnsi="Calibri" w:eastAsia="Calibri"/>
          <w:b w:val="0"/>
          <w:color w:val="3C1B30"/>
          <w:sz w:val="22"/>
        </w:rPr>
        <w:t xml:space="preserve"> — name, short description, phone, address, and website where available</w:t>
      </w:r>
    </w:p>
    <w:p>
      <w:pPr>
        <w:pStyle w:val="Heading2"/>
        <w:spacing w:before="200" w:after="120"/>
      </w:pPr>
      <w:r>
        <w:rPr>
          <w:rFonts w:ascii="Georgia" w:hAnsi="Georgia" w:eastAsia="Georgia"/>
          <w:b/>
          <w:color w:val="60164C"/>
          <w:sz w:val="26"/>
        </w:rPr>
        <w:t>How data is managed in MVP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 xml:space="preserve">Connections Map stays in the </w:t>
      </w:r>
      <w:r>
        <w:rPr>
          <w:rFonts w:ascii="Calibri" w:hAnsi="Calibri" w:eastAsia="Calibri"/>
          <w:b/>
          <w:color w:val="3C1B30"/>
          <w:sz w:val="22"/>
        </w:rPr>
        <w:t>existing Google Sheet</w:t>
      </w:r>
      <w:r>
        <w:rPr>
          <w:rFonts w:ascii="Calibri" w:hAnsi="Calibri" w:eastAsia="Calibri"/>
          <w:b w:val="0"/>
          <w:color w:val="3C1B30"/>
          <w:sz w:val="22"/>
        </w:rPr>
        <w:t xml:space="preserve"> (the team already knows this)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 xml:space="preserve">Government directory imported </w:t>
      </w:r>
      <w:r>
        <w:rPr>
          <w:rFonts w:ascii="Calibri" w:hAnsi="Calibri" w:eastAsia="Calibri"/>
          <w:b/>
          <w:color w:val="3C1B30"/>
          <w:sz w:val="22"/>
        </w:rPr>
        <w:t>once</w:t>
      </w:r>
      <w:r>
        <w:rPr>
          <w:rFonts w:ascii="Calibri" w:hAnsi="Calibri" w:eastAsia="Calibri"/>
          <w:b w:val="0"/>
          <w:color w:val="3C1B30"/>
          <w:sz w:val="22"/>
        </w:rPr>
        <w:t xml:space="preserve"> (can be re-run by hand if needed)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 xml:space="preserve">One </w:t>
      </w:r>
      <w:r>
        <w:rPr>
          <w:rFonts w:ascii="Calibri" w:hAnsi="Calibri" w:eastAsia="Calibri"/>
          <w:b/>
          <w:color w:val="3C1B30"/>
          <w:sz w:val="22"/>
        </w:rPr>
        <w:t>published list</w:t>
      </w:r>
      <w:r>
        <w:rPr>
          <w:rFonts w:ascii="Calibri" w:hAnsi="Calibri" w:eastAsia="Calibri"/>
          <w:b w:val="0"/>
          <w:color w:val="3C1B30"/>
          <w:sz w:val="22"/>
        </w:rPr>
        <w:t xml:space="preserve"> the website reads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Basic duplicate flagging; tidy-up by hand is fine for MVP</w:t>
      </w:r>
    </w:p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5. Phase 2 — Iteration deliverables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F1F0" w:val="clear"/>
          </w:tcPr>
          <w:p>
            <w:r/>
            <w:r>
              <w:rPr>
                <w:rFonts w:ascii="Calibri" w:hAnsi="Calibri" w:eastAsia="Calibri"/>
                <w:b w:val="0"/>
                <w:color w:val="60164C"/>
                <w:sz w:val="20"/>
              </w:rPr>
              <w:t>~50 hours / NZ$5,000 · ~2–3 weeks after feedback is collected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Changes from testing (categories, labels, layout, crisis numbers display, map behaviour)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3C1B30"/>
          <w:sz w:val="22"/>
        </w:rPr>
        <w:t>Password-protected admin</w:t>
      </w:r>
      <w:r>
        <w:rPr>
          <w:rFonts w:ascii="Calibri" w:hAnsi="Calibri" w:eastAsia="Calibri"/>
          <w:b w:val="0"/>
          <w:color w:val="3C1B30"/>
          <w:sz w:val="22"/>
        </w:rPr>
        <w:t xml:space="preserve"> to review, edit, publish, or hide listings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3C1B30"/>
          <w:sz w:val="22"/>
        </w:rPr>
        <w:t>Weekly automated refresh</w:t>
      </w:r>
      <w:r>
        <w:rPr>
          <w:rFonts w:ascii="Calibri" w:hAnsi="Calibri" w:eastAsia="Calibri"/>
          <w:b w:val="0"/>
          <w:color w:val="3C1B30"/>
          <w:sz w:val="22"/>
        </w:rPr>
        <w:t xml:space="preserve"> of the government directory, with a review queue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3C1B30"/>
          <w:sz w:val="22"/>
        </w:rPr>
        <w:t>Duplicate linking</w:t>
      </w:r>
      <w:r>
        <w:rPr>
          <w:rFonts w:ascii="Calibri" w:hAnsi="Calibri" w:eastAsia="Calibri"/>
          <w:b w:val="0"/>
          <w:color w:val="3C1B30"/>
          <w:sz w:val="22"/>
        </w:rPr>
        <w:t xml:space="preserve"> in admin (so the same service is not shown twice)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3C1B30"/>
          <w:sz w:val="22"/>
        </w:rPr>
        <w:t>Embed</w:t>
      </w:r>
      <w:r>
        <w:rPr>
          <w:rFonts w:ascii="Calibri" w:hAnsi="Calibri" w:eastAsia="Calibri"/>
          <w:b w:val="0"/>
          <w:color w:val="3C1B30"/>
          <w:sz w:val="22"/>
        </w:rPr>
        <w:t xml:space="preserve"> on the Porirua Locality website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 xml:space="preserve">Short </w:t>
      </w:r>
      <w:r>
        <w:rPr>
          <w:rFonts w:ascii="Calibri" w:hAnsi="Calibri" w:eastAsia="Calibri"/>
          <w:b/>
          <w:color w:val="3C1B30"/>
          <w:sz w:val="22"/>
        </w:rPr>
        <w:t>editor guide</w:t>
      </w:r>
      <w:r>
        <w:rPr>
          <w:rFonts w:ascii="Calibri" w:hAnsi="Calibri" w:eastAsia="Calibri"/>
          <w:b w:val="0"/>
          <w:color w:val="3C1B30"/>
          <w:sz w:val="22"/>
        </w:rPr>
        <w:t>, backups, and handover so the directory lasts</w:t>
      </w:r>
    </w:p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6. Who it is for</w:t>
      </w:r>
    </w:p>
    <w:p>
      <w:pPr>
        <w:pStyle w:val="Heading2"/>
        <w:spacing w:before="200" w:after="120"/>
      </w:pPr>
      <w:r>
        <w:rPr>
          <w:rFonts w:ascii="Georgia" w:hAnsi="Georgia" w:eastAsia="Georgia"/>
          <w:b/>
          <w:color w:val="60164C"/>
          <w:sz w:val="26"/>
        </w:rPr>
        <w:t>Public (no login, no personal details)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Need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Immediate help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Support for themselves or someone they know (food, housing, safety, health, and similar)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Community connection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Contact or connect with community groups and local kaupapa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Civic &amp; community places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Marae, councils, Pātaka Kai, libraries, and organisations the community trusts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Georgia" w:hAnsi="Georgia" w:eastAsia="Georgia"/>
          <w:b/>
          <w:color w:val="60164C"/>
          <w:sz w:val="26"/>
        </w:rPr>
        <w:t>Behind the scenes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3C1B30"/>
          <w:sz w:val="22"/>
        </w:rPr>
        <w:t>Porirua Locality team members keep listings accurate — Sheet and manual updates in Phase 1; admin tools in Phase 2.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3C1B30"/>
          <w:sz w:val="22"/>
        </w:rPr>
        <w:t xml:space="preserve">Community workers may share the link. This is </w:t>
      </w:r>
      <w:r>
        <w:rPr>
          <w:rFonts w:ascii="Calibri" w:hAnsi="Calibri" w:eastAsia="Calibri"/>
          <w:b/>
          <w:color w:val="3C1B30"/>
          <w:sz w:val="22"/>
        </w:rPr>
        <w:t>not</w:t>
      </w:r>
      <w:r>
        <w:rPr>
          <w:rFonts w:ascii="Calibri" w:hAnsi="Calibri" w:eastAsia="Calibri"/>
          <w:b w:val="0"/>
          <w:color w:val="3C1B30"/>
          <w:sz w:val="22"/>
        </w:rPr>
        <w:t xml:space="preserve"> a referral or case-management system.</w:t>
      </w:r>
    </w:p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7. What success looks like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we will know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People find help quickly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Clear categories, search, and a map of nearby services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Information is trustworthy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Curated merge for MVP; publish/hide workflow in Phase 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Local context is kept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Connections Map organisations keep their local story and kaupapa where relevant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Real-world validation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MVP live within ~50 hours; feedback collected before Phase 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Low ongoing effort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After Phase 2: automatic government refresh; team ~1–2 hours per month on review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Long-lasting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Stable tools, exportable data, documented handover — useful for ~3 years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Fits the budget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MVP ≤ NZ$5,000; total ≤ NZ$10,000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8. What people will see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3C1B30"/>
          <w:sz w:val="22"/>
        </w:rPr>
        <w:t>When someone opens the directory they can: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color w:val="3C1B30"/>
          <w:sz w:val="22"/>
        </w:rPr>
        <w:t>Choose a path</w:t>
      </w:r>
      <w:r>
        <w:rPr>
          <w:rFonts w:ascii="Calibri" w:hAnsi="Calibri" w:eastAsia="Calibri"/>
          <w:b w:val="0"/>
          <w:color w:val="3C1B30"/>
          <w:sz w:val="22"/>
        </w:rPr>
        <w:t xml:space="preserve"> — find support, or connect with community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color w:val="3C1B30"/>
          <w:sz w:val="22"/>
        </w:rPr>
        <w:t>Browse by need</w:t>
      </w:r>
      <w:r>
        <w:rPr>
          <w:rFonts w:ascii="Calibri" w:hAnsi="Calibri" w:eastAsia="Calibri"/>
          <w:b w:val="0"/>
          <w:color w:val="3C1B30"/>
          <w:sz w:val="22"/>
        </w:rPr>
        <w:t xml:space="preserve"> — plain-language categories such as food / kai, housing, money help, feeling unsafe, counselling, health, legal advice, work and learning, everyday needs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color w:val="3C1B30"/>
          <w:sz w:val="22"/>
        </w:rPr>
        <w:t>Search</w:t>
      </w:r>
      <w:r>
        <w:rPr>
          <w:rFonts w:ascii="Calibri" w:hAnsi="Calibri" w:eastAsia="Calibri"/>
          <w:b w:val="0"/>
          <w:color w:val="3C1B30"/>
          <w:sz w:val="22"/>
        </w:rPr>
        <w:t xml:space="preserve"> — type what they need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color w:val="3C1B30"/>
          <w:sz w:val="22"/>
        </w:rPr>
        <w:t>Use the map</w:t>
      </w:r>
      <w:r>
        <w:rPr>
          <w:rFonts w:ascii="Calibri" w:hAnsi="Calibri" w:eastAsia="Calibri"/>
          <w:b w:val="0"/>
          <w:color w:val="3C1B30"/>
          <w:sz w:val="22"/>
        </w:rPr>
        <w:t xml:space="preserve"> — see nearby services when locations are known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color w:val="3C1B30"/>
          <w:sz w:val="22"/>
        </w:rPr>
        <w:t>Reach crisis numbers</w:t>
      </w:r>
      <w:r>
        <w:rPr>
          <w:rFonts w:ascii="Calibri" w:hAnsi="Calibri" w:eastAsia="Calibri"/>
          <w:b w:val="0"/>
          <w:color w:val="3C1B30"/>
          <w:sz w:val="22"/>
        </w:rPr>
        <w:t xml:space="preserve"> — always easy to find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color w:val="3C1B30"/>
          <w:sz w:val="22"/>
        </w:rPr>
        <w:t>Open a listing</w:t>
      </w:r>
      <w:r>
        <w:rPr>
          <w:rFonts w:ascii="Calibri" w:hAnsi="Calibri" w:eastAsia="Calibri"/>
          <w:b w:val="0"/>
          <w:color w:val="3C1B30"/>
          <w:sz w:val="22"/>
        </w:rPr>
        <w:t xml:space="preserve"> — name, short description, address or suburb, phone, website, and opening hours if known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color w:val="3C1B30"/>
          <w:sz w:val="22"/>
        </w:rPr>
        <w:t>Save a short list for this visit</w:t>
      </w:r>
      <w:r>
        <w:rPr>
          <w:rFonts w:ascii="Calibri" w:hAnsi="Calibri" w:eastAsia="Calibri"/>
          <w:b w:val="0"/>
          <w:color w:val="3C1B30"/>
          <w:sz w:val="22"/>
        </w:rPr>
        <w:t xml:space="preserve"> (optional) — nothing stored online; print if useful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3C1B30"/>
          <w:sz w:val="22"/>
        </w:rPr>
        <w:t>People should not need to know which list a service came from.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</w:r>
          </w:p>
        </w:tc>
        <w:tc>
          <w:tcPr>
            <w:tcW w:type="dxa" w:w="3249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Phase 1</w:t>
            </w:r>
          </w:p>
        </w:tc>
        <w:tc>
          <w:tcPr>
            <w:tcW w:type="dxa" w:w="3249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Phase 2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Standalone website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Yes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Yes</w:t>
            </w:r>
          </w:p>
        </w:tc>
      </w:tr>
      <w:tr>
        <w:tc>
          <w:tcPr>
            <w:tcW w:type="dxa" w:w="3249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On the Porirua Locality site</w:t>
            </w:r>
          </w:p>
        </w:tc>
        <w:tc>
          <w:tcPr>
            <w:tcW w:type="dxa" w:w="3249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Link out</w:t>
            </w:r>
          </w:p>
        </w:tc>
        <w:tc>
          <w:tcPr>
            <w:tcW w:type="dxa" w:w="3249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Embed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9. Data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What it provides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Community Connections Map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Local organisations, kaupapa, and initiatives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NZ Family Services Directory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Broader social services, filtered to Porirua</w:t>
            </w:r>
          </w:p>
        </w:tc>
      </w:tr>
    </w:tbl>
    <w:p/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3C1B30"/>
          <w:sz w:val="22"/>
        </w:rPr>
        <w:t xml:space="preserve">Only services relevant to </w:t>
      </w:r>
      <w:r>
        <w:rPr>
          <w:rFonts w:ascii="Calibri" w:hAnsi="Calibri" w:eastAsia="Calibri"/>
          <w:b/>
          <w:color w:val="3C1B30"/>
          <w:sz w:val="22"/>
        </w:rPr>
        <w:t>people in Porirua</w:t>
      </w:r>
      <w:r>
        <w:rPr>
          <w:rFonts w:ascii="Calibri" w:hAnsi="Calibri" w:eastAsia="Calibri"/>
          <w:b w:val="0"/>
          <w:color w:val="3C1B30"/>
          <w:sz w:val="22"/>
        </w:rPr>
        <w:t xml:space="preserve"> appear. When the same organisation is in both lists, we prefer the </w:t>
      </w:r>
      <w:r>
        <w:rPr>
          <w:rFonts w:ascii="Calibri" w:hAnsi="Calibri" w:eastAsia="Calibri"/>
          <w:b/>
          <w:color w:val="3C1B30"/>
          <w:sz w:val="22"/>
        </w:rPr>
        <w:t>richest local description</w:t>
      </w:r>
      <w:r>
        <w:rPr>
          <w:rFonts w:ascii="Calibri" w:hAnsi="Calibri" w:eastAsia="Calibri"/>
          <w:b w:val="0"/>
          <w:color w:val="3C1B30"/>
          <w:sz w:val="22"/>
        </w:rPr>
        <w:t xml:space="preserve"> (usually from the Connections Map) and avoid showing the same service twice.</w:t>
      </w:r>
    </w:p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10. Timeline</w:t>
      </w:r>
    </w:p>
    <w:p>
      <w:pPr>
        <w:pStyle w:val="Heading2"/>
        <w:spacing w:before="200" w:after="120"/>
      </w:pPr>
      <w:r>
        <w:rPr>
          <w:rFonts w:ascii="Georgia" w:hAnsi="Georgia" w:eastAsia="Georgia"/>
          <w:b/>
          <w:color w:val="60164C"/>
          <w:sz w:val="26"/>
        </w:rPr>
        <w:t>Phase 1 — MVP (~2–3 weeks)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1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Bring the two data sources together; categories and crisis numbers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2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Search, map, service cards; mobile check; public URL live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3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Soft launch, fix gaps, brief handover — start user testing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F1F0" w:val="clear"/>
          </w:tcPr>
          <w:p>
            <w:r/>
            <w:r>
              <w:rPr>
                <w:rFonts w:ascii="Calibri" w:hAnsi="Calibri" w:eastAsia="Calibri"/>
                <w:b/>
                <w:color w:val="60164C"/>
                <w:sz w:val="20"/>
              </w:rPr>
              <w:t>Between phases (~1–2 weeks, not in budget)</w:t>
            </w:r>
            <w:r>
              <w:rPr>
                <w:rFonts w:ascii="Calibri" w:hAnsi="Calibri" w:eastAsia="Calibri"/>
                <w:b w:val="0"/>
                <w:color w:val="60164C"/>
                <w:sz w:val="20"/>
              </w:rPr>
              <w:t xml:space="preserve"> — Collect feedback from help-seekers, the Locality team, and community workers. Prioritise changes for Phase 2.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Georgia" w:hAnsi="Georgia" w:eastAsia="Georgia"/>
          <w:b/>
          <w:color w:val="60164C"/>
          <w:sz w:val="26"/>
        </w:rPr>
        <w:t>Phase 2 — Iteration (~2–3 weeks)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1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Priority changes from feedback; admin for review and publish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2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Weekly government refresh; duplicates; Locality site embed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3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Editor guide, backups, production launch</w:t>
            </w:r>
          </w:p>
        </w:tc>
      </w:tr>
    </w:tbl>
    <w:p/>
    <w:p>
      <w:pPr>
        <w:spacing w:after="120" w:before="0" w:line="240" w:lineRule="auto"/>
      </w:pPr>
      <w:r>
        <w:rPr>
          <w:rFonts w:ascii="Calibri" w:hAnsi="Calibri" w:eastAsia="Calibri"/>
          <w:b/>
          <w:color w:val="3C1B30"/>
          <w:sz w:val="22"/>
        </w:rPr>
        <w:t>Total elapsed:</w:t>
      </w:r>
      <w:r>
        <w:rPr>
          <w:rFonts w:ascii="Calibri" w:hAnsi="Calibri" w:eastAsia="Calibri"/>
          <w:b w:val="0"/>
          <w:color w:val="3C1B30"/>
          <w:sz w:val="22"/>
        </w:rPr>
        <w:t xml:space="preserve"> roughly 5–8 weeks including the feedback window.</w:t>
      </w:r>
    </w:p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11. Budget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249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3249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Phase 1 — MVP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~50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NZ$5,000</w:t>
            </w:r>
          </w:p>
        </w:tc>
      </w:tr>
      <w:tr>
        <w:tc>
          <w:tcPr>
            <w:tcW w:type="dxa" w:w="3249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Phase 2 — Iteration</w:t>
            </w:r>
          </w:p>
        </w:tc>
        <w:tc>
          <w:tcPr>
            <w:tcW w:type="dxa" w:w="3249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~50</w:t>
            </w:r>
          </w:p>
        </w:tc>
        <w:tc>
          <w:tcPr>
            <w:tcW w:type="dxa" w:w="3249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NZ$5,000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Total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~100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3C1B30"/>
                <w:sz w:val="20"/>
              </w:rPr>
              <w:t>NZ$10,000</w:t>
            </w:r>
          </w:p>
        </w:tc>
      </w:tr>
    </w:tbl>
    <w:p/>
    <w:p>
      <w:pPr>
        <w:spacing w:after="120" w:before="0" w:line="240" w:lineRule="auto"/>
      </w:pPr>
      <w:r>
        <w:rPr>
          <w:rFonts w:ascii="Calibri" w:hAnsi="Calibri" w:eastAsia="Calibri"/>
          <w:b/>
          <w:color w:val="3C1B30"/>
          <w:sz w:val="22"/>
        </w:rPr>
        <w:t>Ongoing hosting (from Phase 2):</w:t>
      </w:r>
      <w:r>
        <w:rPr>
          <w:rFonts w:ascii="Calibri" w:hAnsi="Calibri" w:eastAsia="Calibri"/>
          <w:b w:val="0"/>
          <w:color w:val="3C1B30"/>
          <w:sz w:val="22"/>
        </w:rPr>
        <w:t xml:space="preserve"> about NZ$25–60 per month. MVP can run at minimal cost on a simple public website.</w:t>
      </w:r>
    </w:p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12. Not included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Phone helpline or human navigator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Referral tracking (“did the person get help?”)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Public user accounts or collecting personal information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Provider login to edit their own listing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Installable phone app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Usage analytics dashboard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Te Reo category labels (can be added later)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Extra data sources beyond Connections Map and Family Services Directory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National coverage outside Porirua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Replacing 111 or national crisis helplines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C1B30"/>
          <w:sz w:val="22"/>
        </w:rPr>
        <w:t>Real-time availability (e.g. “bed free tonight”)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F1F0" w:val="clear"/>
          </w:tcPr>
          <w:p>
            <w:r/>
            <w:r>
              <w:rPr>
                <w:rFonts w:ascii="Calibri" w:hAnsi="Calibri" w:eastAsia="Calibri"/>
                <w:b/>
                <w:color w:val="60164C"/>
                <w:sz w:val="20"/>
              </w:rPr>
              <w:t>Phase 1 specifically does not include:</w:t>
            </w:r>
            <w:r>
              <w:rPr>
                <w:rFonts w:ascii="Calibri" w:hAnsi="Calibri" w:eastAsia="Calibri"/>
                <w:b w:val="0"/>
                <w:color w:val="60164C"/>
                <w:sz w:val="20"/>
              </w:rPr>
              <w:t xml:space="preserve"> admin website, automatic weekly refresh, Locality site embed, formal duplicate tools, or full editor runbooks — those are Phase 2.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13. Assumptions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73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Assumption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Porirua Locality team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People available to review listings; ~1–2 hours per month after Phase 2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Government directory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Continues to be published as open data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Connections Map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Existing Google Sheet remains the starting point for local organisations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Locality website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Can host an embed in Phase 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Branding &amp; content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Team provides crisis numbers and final category wording</w:t>
            </w:r>
          </w:p>
        </w:tc>
      </w:tr>
      <w:tr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MVP feedback</w:t>
            </w:r>
          </w:p>
        </w:tc>
        <w:tc>
          <w:tcPr>
            <w:tcW w:type="dxa" w:w="4873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Team helps recruit testers and capture feedback between phases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Georgia" w:hAnsi="Georgia" w:eastAsia="Georgia"/>
          <w:b/>
          <w:color w:val="60164C"/>
          <w:sz w:val="32"/>
        </w:rPr>
        <w:t>14. Approval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36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36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36"/>
            <w:shd w:fill="60164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Project sponsor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</w:r>
          </w:p>
        </w:tc>
      </w:tr>
      <w:tr>
        <w:tc>
          <w:tcPr>
            <w:tcW w:type="dxa" w:w="2436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Porirua Locality lead</w:t>
            </w:r>
          </w:p>
        </w:tc>
        <w:tc>
          <w:tcPr>
            <w:tcW w:type="dxa" w:w="2436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</w:r>
          </w:p>
        </w:tc>
        <w:tc>
          <w:tcPr>
            <w:tcW w:type="dxa" w:w="2436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</w:r>
          </w:p>
        </w:tc>
        <w:tc>
          <w:tcPr>
            <w:tcW w:type="dxa" w:w="2436"/>
            <w:shd w:fill="FCF1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  <w:t>Contractor — Coshop Limited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3C1B30"/>
                <w:sz w:val="20"/>
              </w:rPr>
            </w:r>
          </w:p>
        </w:tc>
      </w:tr>
    </w:tbl>
    <w:p/>
    <w:p>
      <w:r>
        <w:rPr>
          <w:rFonts w:ascii="Calibri" w:hAnsi="Calibri" w:eastAsia="Calibri"/>
          <w:b w:val="0"/>
          <w:color w:val="8A677A"/>
          <w:sz w:val="18"/>
        </w:rPr>
        <w:t>Your Porirua Directory — Scope of Work v2.0 · July 2026 · Porirua Locality / Te Wāhi Tiaki Tātou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