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authored Flow Weight with relatively fast movement, tending toward smaller and more frequent pulses; a Camel illustrates higher authored Flow Weight with slower movement, tending toward larger and less frequent pulses. Final Item Rate still comes from the actual successful demonstration, so distance, terrain, and route quality matter: a long or poor Allay delivery can produce a lower Item Rate than a short easy Camel delivery. Transport archetype influences performance; the demonstrated journey determines the result. Exact values remain balance territory. [OPEN] Exact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