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B46F" w14:textId="77777777" w:rsidR="003F4196" w:rsidRDefault="003F4196">
      <w:proofErr w:type="spellStart"/>
      <w:r w:rsidRPr="003F4196">
        <w:rPr>
          <w:b/>
          <w:bCs/>
        </w:rPr>
        <w:t>Ex.No</w:t>
      </w:r>
      <w:proofErr w:type="spellEnd"/>
      <w:r w:rsidRPr="003F4196">
        <w:rPr>
          <w:b/>
          <w:bCs/>
        </w:rPr>
        <w:t>. 13:  V2X Latency Comparison</w:t>
      </w:r>
      <w:r w:rsidRPr="003F4196">
        <w:t xml:space="preserve">    </w:t>
      </w:r>
    </w:p>
    <w:p w14:paraId="0C341E9D" w14:textId="77777777" w:rsidR="003F4196" w:rsidRDefault="003F4196"/>
    <w:p w14:paraId="0EB2AFA7" w14:textId="77777777" w:rsidR="003F4196" w:rsidRDefault="003F4196">
      <w:r>
        <w:t>Objective 1:</w:t>
      </w:r>
    </w:p>
    <w:p w14:paraId="7583E962" w14:textId="7C817D59" w:rsidR="005B740E" w:rsidRDefault="003F4196">
      <w:r w:rsidRPr="003F4196">
        <w:drawing>
          <wp:inline distT="0" distB="0" distL="0" distR="0" wp14:anchorId="0B724452" wp14:editId="7885332B">
            <wp:extent cx="5731510" cy="3223895"/>
            <wp:effectExtent l="0" t="0" r="2540" b="0"/>
            <wp:docPr id="14268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3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437E" w14:textId="5EC55C14" w:rsidR="003F4196" w:rsidRDefault="003F4196">
      <w:r>
        <w:t>Objective 2:</w:t>
      </w:r>
    </w:p>
    <w:p w14:paraId="0DCFB8A1" w14:textId="0CD4DD1C" w:rsidR="003F4196" w:rsidRDefault="003F4196">
      <w:r w:rsidRPr="003F4196">
        <w:drawing>
          <wp:inline distT="0" distB="0" distL="0" distR="0" wp14:anchorId="5D333517" wp14:editId="692E86B6">
            <wp:extent cx="5731510" cy="3223895"/>
            <wp:effectExtent l="0" t="0" r="2540" b="0"/>
            <wp:docPr id="3455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BC4D" w14:textId="69F920F3" w:rsidR="003F4196" w:rsidRDefault="003F4196">
      <w:r>
        <w:t>Objective 3:</w:t>
      </w:r>
    </w:p>
    <w:p w14:paraId="4E4BD8EE" w14:textId="615270C8" w:rsidR="003F4196" w:rsidRDefault="003F4196">
      <w:r w:rsidRPr="003F4196">
        <w:lastRenderedPageBreak/>
        <w:drawing>
          <wp:inline distT="0" distB="0" distL="0" distR="0" wp14:anchorId="32BD8019" wp14:editId="672CABA5">
            <wp:extent cx="5731510" cy="3223895"/>
            <wp:effectExtent l="0" t="0" r="2540" b="0"/>
            <wp:docPr id="163248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8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BF0C" w14:textId="4D2F9545" w:rsidR="003F4196" w:rsidRDefault="003F4196">
      <w:r>
        <w:t>Result:</w:t>
      </w:r>
    </w:p>
    <w:p w14:paraId="4C802747" w14:textId="096DE6C0" w:rsidR="003F4196" w:rsidRDefault="003F4196">
      <w:r w:rsidRPr="003F4196">
        <w:t>The End-to-End Latency (ms) of the V2X communication system was successfully analyzed, demonstrating efficient data transmission with low communication delay. The Packet Delivery Ratio (PDR %) was evaluated and showed high packet delivery reliability under different vehicle operating conditions. The impact of Vehicle Speed (km/h) on V2X communication was successfully studied, indicating that higher vehicle speeds can influence communication range, latency, and overall network performance.</w:t>
      </w:r>
    </w:p>
    <w:sectPr w:rsidR="003F4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96"/>
    <w:rsid w:val="002C391F"/>
    <w:rsid w:val="003F4196"/>
    <w:rsid w:val="005B740E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B093"/>
  <w15:chartTrackingRefBased/>
  <w15:docId w15:val="{6C77DB18-B667-4A61-B52A-1C2CE0FD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2026-08-11T16:40:00Z</dcterms:created>
  <dcterms:modified xsi:type="dcterms:W3CDTF">2026-08-11T16:46:00Z</dcterms:modified>
</cp:coreProperties>
</file>