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5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В этой лабораторной работе мы научимся писать программы с использованием подпрограмм и познакомимся со способами отладки с использованием GDB и его основными функциями</w:t>
      </w:r>
    </w:p>
    <w:bookmarkEnd w:id="20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4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 :</w:t>
      </w:r>
    </w:p>
    <w:p>
      <w:pPr>
        <w:numPr>
          <w:ilvl w:val="0"/>
          <w:numId w:val="1001"/>
        </w:numPr>
        <w:pStyle w:val="Compact"/>
      </w:pPr>
      <w:r>
        <w:t xml:space="preserve">Здесь мы начали с создания каталога для программаы лабораторной работы №10, а затем переместились в десятой каталог лаборатории</w:t>
      </w:r>
      <w:r>
        <w:t xml:space="preserve"> </w:t>
      </w:r>
      <w:r>
        <w:t xml:space="preserve">“</w:t>
      </w:r>
      <w:r>
        <w:rPr>
          <w:iCs/>
          <w:i/>
        </w:rPr>
        <w:t xml:space="preserve">~/work/arch-pc/lab10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rPr>
          <w:bCs/>
          <w:b/>
        </w:rPr>
        <w:t xml:space="preserve">lab10-1.asm</w:t>
      </w:r>
      <w:r>
        <w:t xml:space="preserve">”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1878533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numPr>
          <w:ilvl w:val="0"/>
          <w:numId w:val="1002"/>
        </w:numPr>
        <w:pStyle w:val="Compact"/>
      </w:pPr>
      <w:r>
        <w:t xml:space="preserve">Затем мы заполнили код нашей программы в файле</w:t>
      </w:r>
      <w:r>
        <w:t xml:space="preserve"> </w:t>
      </w:r>
      <w:r>
        <w:rPr>
          <w:bCs/>
          <w:b/>
        </w:rPr>
        <w:t xml:space="preserve">lab10-1.asm</w:t>
      </w:r>
      <w:r>
        <w:t xml:space="preserve">.(рис. 2)</w:t>
      </w:r>
    </w:p>
    <w:p>
      <w:pPr>
        <w:pStyle w:val="CaptionedFigure"/>
      </w:pPr>
      <w:bookmarkStart w:id="28" w:name="fig:2"/>
      <w:r>
        <w:drawing>
          <wp:inline>
            <wp:extent cx="5334000" cy="7337589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скомпилировали файл, создали исполняемый файл и проверили его работу.(рис. 3)</w:t>
      </w:r>
    </w:p>
    <w:p>
      <w:pPr>
        <w:pStyle w:val="CaptionedFigure"/>
      </w:pPr>
      <w:bookmarkStart w:id="32" w:name="fig:3"/>
      <w:r>
        <w:drawing>
          <wp:inline>
            <wp:extent cx="5334000" cy="1711721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p>
      <w:pPr>
        <w:numPr>
          <w:ilvl w:val="0"/>
          <w:numId w:val="1004"/>
        </w:numPr>
        <w:pStyle w:val="Compact"/>
      </w:pPr>
      <w:r>
        <w:t xml:space="preserve">Мы внесли изменения в наш код ,чтобы она вычислила это уравнение</w:t>
      </w:r>
      <w:r>
        <w:t xml:space="preserve"> </w:t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𝑔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𝑥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𝑥</m:t>
        </m:r>
      </m:oMath>
      <w:r>
        <w:t xml:space="preserve"> </w:t>
      </w:r>
      <w:r>
        <w:t xml:space="preserve">вводится с клавиатуры и</w:t>
      </w:r>
      <w:r>
        <w:t xml:space="preserve"> </w:t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r>
          <m:t>2</m:t>
        </m:r>
        <m:r>
          <m:t>𝑥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𝑔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r>
          <m:t>3</m:t>
        </m:r>
        <m:r>
          <m:t>𝑥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а затем создали исполняемый файл.(рис. 4) (рис. 5)</w:t>
      </w:r>
    </w:p>
    <w:p>
      <w:pPr>
        <w:pStyle w:val="CaptionedFigure"/>
      </w:pPr>
      <w:bookmarkStart w:id="36" w:name="fig:4"/>
      <w:r>
        <w:drawing>
          <wp:inline>
            <wp:extent cx="5334000" cy="9091843"/>
            <wp:effectExtent b="0" l="0" r="0" t="0"/>
            <wp:docPr descr="Рис. 4: Ре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 4</w:t>
      </w:r>
    </w:p>
    <w:p>
      <w:pPr>
        <w:pStyle w:val="CaptionedFigure"/>
      </w:pPr>
      <w:bookmarkStart w:id="40" w:name="fig:5"/>
      <w:r>
        <w:drawing>
          <wp:inline>
            <wp:extent cx="5334000" cy="1601056"/>
            <wp:effectExtent b="0" l="0" r="0" t="0"/>
            <wp:docPr descr="Рис. 5: Ре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 5</w:t>
      </w:r>
    </w:p>
    <w:bookmarkEnd w:id="41"/>
    <w:bookmarkStart w:id="70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 :</w:t>
      </w:r>
    </w:p>
    <w:p>
      <w:pPr>
        <w:numPr>
          <w:ilvl w:val="0"/>
          <w:numId w:val="1005"/>
        </w:numPr>
        <w:pStyle w:val="Compact"/>
      </w:pPr>
      <w:r>
        <w:t xml:space="preserve">На этом шаге мы создали файл</w:t>
      </w:r>
      <w:r>
        <w:t xml:space="preserve"> </w:t>
      </w:r>
      <w:r>
        <w:rPr>
          <w:bCs/>
          <w:b/>
        </w:rPr>
        <w:t xml:space="preserve">lab10-2.asm</w:t>
      </w:r>
      <w:r>
        <w:t xml:space="preserve"> </w:t>
      </w:r>
      <w:r>
        <w:t xml:space="preserve">с текстом программы из</w:t>
      </w:r>
      <w:r>
        <w:t xml:space="preserve"> </w:t>
      </w:r>
      <w:r>
        <w:rPr>
          <w:bCs/>
          <w:b/>
        </w:rPr>
        <w:t xml:space="preserve">листинга 10.2</w:t>
      </w:r>
      <w:r>
        <w:t xml:space="preserve">. ((</w:t>
      </w:r>
      <w:r>
        <w:rPr>
          <w:iCs/>
          <w:i/>
        </w:rPr>
        <w:t xml:space="preserve">Программа печати сообщений Hello world!</w:t>
      </w:r>
      <w:r>
        <w:t xml:space="preserve">). (рис. 6)</w:t>
      </w:r>
    </w:p>
    <w:p>
      <w:pPr>
        <w:pStyle w:val="CaptionedFigure"/>
      </w:pPr>
      <w:bookmarkStart w:id="45" w:name="fig:6"/>
      <w:r>
        <w:drawing>
          <wp:inline>
            <wp:extent cx="5334000" cy="6033388"/>
            <wp:effectExtent b="0" l="0" r="0" t="0"/>
            <wp:docPr descr="Рис. 6: Ресунок 6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Ресунок 6</w:t>
      </w:r>
    </w:p>
    <w:p>
      <w:pPr>
        <w:numPr>
          <w:ilvl w:val="0"/>
          <w:numId w:val="1006"/>
        </w:numPr>
        <w:pStyle w:val="Compact"/>
      </w:pPr>
      <w:r>
        <w:t xml:space="preserve">После этого мы скомпилировали файл, создали исполняемый файл.Затем мы загрузили исполняемый файл в</w:t>
      </w:r>
      <w:r>
        <w:t xml:space="preserve"> </w:t>
      </w:r>
      <w:r>
        <w:rPr>
          <w:bCs/>
          <w:b/>
        </w:rPr>
        <w:t xml:space="preserve">отладчик GDM</w:t>
      </w:r>
      <w:r>
        <w:t xml:space="preserve">. (рис. 7)</w:t>
      </w:r>
    </w:p>
    <w:p>
      <w:pPr>
        <w:pStyle w:val="CaptionedFigure"/>
      </w:pPr>
      <w:bookmarkStart w:id="49" w:name="fig:7"/>
      <w:r>
        <w:drawing>
          <wp:inline>
            <wp:extent cx="5334000" cy="3714165"/>
            <wp:effectExtent b="0" l="0" r="0" t="0"/>
            <wp:docPr descr="Рис. 7: Ресунок 7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Ресунок 7</w:t>
      </w:r>
    </w:p>
    <w:p>
      <w:pPr>
        <w:numPr>
          <w:ilvl w:val="0"/>
          <w:numId w:val="1007"/>
        </w:numPr>
        <w:pStyle w:val="Compact"/>
      </w:pPr>
      <w:r>
        <w:t xml:space="preserve">затем мы проверили работу программы, запустив ее в оболочке GDB с помощью команды</w:t>
      </w:r>
      <w:r>
        <w:t xml:space="preserve"> </w:t>
      </w:r>
      <w:r>
        <w:rPr>
          <w:bCs/>
          <w:b/>
        </w:rPr>
        <w:t xml:space="preserve">run</w:t>
      </w:r>
      <w:r>
        <w:t xml:space="preserve">. (рис. 8)</w:t>
      </w:r>
    </w:p>
    <w:p>
      <w:pPr>
        <w:pStyle w:val="CaptionedFigure"/>
      </w:pPr>
      <w:bookmarkStart w:id="53" w:name="fig:8"/>
      <w:r>
        <w:drawing>
          <wp:inline>
            <wp:extent cx="5334000" cy="3714165"/>
            <wp:effectExtent b="0" l="0" r="0" t="0"/>
            <wp:docPr descr="Рис. 8: Ресунок 8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Ресунок 8</w:t>
      </w:r>
    </w:p>
    <w:p>
      <w:pPr>
        <w:numPr>
          <w:ilvl w:val="0"/>
          <w:numId w:val="1008"/>
        </w:numPr>
        <w:pStyle w:val="Compact"/>
      </w:pPr>
      <w:r>
        <w:t xml:space="preserve">затем мы установили точку останова на метке **_start**, которая запускает выполнение любой программы на ассемблере, и запустили ее. (рис. 9)</w:t>
      </w:r>
    </w:p>
    <w:p>
      <w:pPr>
        <w:pStyle w:val="CaptionedFigure"/>
      </w:pPr>
      <w:bookmarkStart w:id="57" w:name="fig:9"/>
      <w:r>
        <w:drawing>
          <wp:inline>
            <wp:extent cx="5334000" cy="1176319"/>
            <wp:effectExtent b="0" l="0" r="0" t="0"/>
            <wp:docPr descr="Рис. 9: Ресунок 9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Ресунок 9</w:t>
      </w:r>
    </w:p>
    <w:p>
      <w:pPr>
        <w:numPr>
          <w:ilvl w:val="0"/>
          <w:numId w:val="1009"/>
        </w:numPr>
        <w:pStyle w:val="Compact"/>
      </w:pPr>
      <w:r>
        <w:t xml:space="preserve">Затем мы просмотрели разобранный программный код, используя команду</w:t>
      </w:r>
      <w:r>
        <w:t xml:space="preserve"> </w:t>
      </w:r>
      <w:r>
        <w:rPr>
          <w:bCs/>
          <w:b/>
        </w:rPr>
        <w:t xml:space="preserve">disassemble</w:t>
      </w:r>
      <w:r>
        <w:t xml:space="preserve">, начинающуюся с метки **_start**. (рис. 10)</w:t>
      </w:r>
    </w:p>
    <w:p>
      <w:pPr>
        <w:pStyle w:val="CaptionedFigure"/>
      </w:pPr>
      <w:bookmarkStart w:id="61" w:name="fig:10"/>
      <w:r>
        <w:drawing>
          <wp:inline>
            <wp:extent cx="5334000" cy="2106420"/>
            <wp:effectExtent b="0" l="0" r="0" t="0"/>
            <wp:docPr descr="Рис. 10: Ресунок 1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Ресунок 10</w:t>
      </w:r>
    </w:p>
    <w:p>
      <w:pPr>
        <w:numPr>
          <w:ilvl w:val="0"/>
          <w:numId w:val="1010"/>
        </w:numPr>
        <w:pStyle w:val="Compact"/>
      </w:pPr>
      <w:r>
        <w:t xml:space="preserve">после этого мы переключились на отображение команд с</w:t>
      </w:r>
      <w:r>
        <w:t xml:space="preserve"> </w:t>
      </w:r>
      <w:r>
        <w:rPr>
          <w:bCs/>
          <w:b/>
        </w:rPr>
        <w:t xml:space="preserve">синтаксисом Intel</w:t>
      </w:r>
      <w:r>
        <w:t xml:space="preserve">, введя команду</w:t>
      </w:r>
      <w:r>
        <w:t xml:space="preserve"> </w:t>
      </w:r>
      <w:r>
        <w:rPr>
          <w:bCs/>
          <w:b/>
        </w:rPr>
        <w:t xml:space="preserve">set disassembly-flavor intel</w:t>
      </w:r>
      <w:r>
        <w:t xml:space="preserve">. (рис. 11)</w:t>
      </w:r>
    </w:p>
    <w:p>
      <w:pPr>
        <w:pStyle w:val="CaptionedFigure"/>
      </w:pPr>
      <w:bookmarkStart w:id="65" w:name="fig:11"/>
      <w:r>
        <w:drawing>
          <wp:inline>
            <wp:extent cx="5334000" cy="2221933"/>
            <wp:effectExtent b="0" l="0" r="0" t="0"/>
            <wp:docPr descr="Рис. 11: Ресунок 1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Ресунок 11</w:t>
      </w:r>
    </w:p>
    <w:p>
      <w:pPr>
        <w:numPr>
          <w:ilvl w:val="0"/>
          <w:numId w:val="1011"/>
        </w:numPr>
        <w:pStyle w:val="Compact"/>
      </w:pPr>
      <w:r>
        <w:t xml:space="preserve">Разница в синтаксисе между</w:t>
      </w:r>
      <w:r>
        <w:t xml:space="preserve"> </w:t>
      </w:r>
      <w:r>
        <w:rPr>
          <w:bCs/>
          <w:b/>
        </w:rPr>
        <w:t xml:space="preserve">AT&amp;T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INTEL</w:t>
      </w:r>
      <w:r>
        <w:t xml:space="preserve"> </w:t>
      </w:r>
      <w:r>
        <w:t xml:space="preserve">заключается в том, что</w:t>
      </w:r>
      <w:r>
        <w:t xml:space="preserve"> </w:t>
      </w:r>
      <w:r>
        <w:rPr>
          <w:bCs/>
          <w:b/>
        </w:rPr>
        <w:t xml:space="preserve">AT&amp;T</w:t>
      </w:r>
      <w:r>
        <w:t xml:space="preserve"> </w:t>
      </w:r>
      <w:r>
        <w:t xml:space="preserve">использует синтаксис</w:t>
      </w:r>
      <w:r>
        <w:t xml:space="preserve"> </w:t>
      </w:r>
      <w:r>
        <w:rPr>
          <w:bCs/>
          <w:b/>
        </w:rPr>
        <w:t xml:space="preserve">mov $0x4,%eax</w:t>
      </w:r>
      <w:r>
        <w:t xml:space="preserve">, который популярен среди пользователей</w:t>
      </w:r>
      <w:r>
        <w:t xml:space="preserve"> </w:t>
      </w:r>
      <w:r>
        <w:rPr>
          <w:bCs/>
          <w:b/>
        </w:rPr>
        <w:t xml:space="preserve">Linux</w:t>
      </w:r>
      <w:r>
        <w:t xml:space="preserve">, с другой стороны,</w:t>
      </w:r>
      <w:r>
        <w:t xml:space="preserve"> </w:t>
      </w:r>
      <w:r>
        <w:rPr>
          <w:bCs/>
          <w:b/>
        </w:rPr>
        <w:t xml:space="preserve">INTEL</w:t>
      </w:r>
      <w:r>
        <w:t xml:space="preserve"> </w:t>
      </w:r>
      <w:r>
        <w:t xml:space="preserve">использует синтаксис</w:t>
      </w:r>
      <w:r>
        <w:t xml:space="preserve"> </w:t>
      </w:r>
      <w:r>
        <w:rPr>
          <w:bCs/>
          <w:b/>
        </w:rPr>
        <w:t xml:space="preserve">mov eax,0x4</w:t>
      </w:r>
      <w:r>
        <w:t xml:space="preserve"> </w:t>
      </w:r>
      <w:r>
        <w:t xml:space="preserve">, который является популярен среди пользователей Windows.</w:t>
      </w:r>
    </w:p>
    <w:p>
      <w:pPr>
        <w:numPr>
          <w:ilvl w:val="0"/>
          <w:numId w:val="1012"/>
        </w:numPr>
        <w:pStyle w:val="Compact"/>
      </w:pPr>
      <w:r>
        <w:t xml:space="preserve">Затем мы включили псевдографический режим для более удобного анализа программы. (рис. 12)</w:t>
      </w:r>
    </w:p>
    <w:p>
      <w:pPr>
        <w:pStyle w:val="CaptionedFigure"/>
      </w:pPr>
      <w:bookmarkStart w:id="69" w:name="fig:12"/>
      <w:r>
        <w:drawing>
          <wp:inline>
            <wp:extent cx="5334000" cy="4968472"/>
            <wp:effectExtent b="0" l="0" r="0" t="0"/>
            <wp:docPr descr="Рис. 12: Ресунок 1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Ресунок 12</w:t>
      </w:r>
    </w:p>
    <w:bookmarkEnd w:id="70"/>
    <w:bookmarkStart w:id="79" w:name="добавление-точек-остано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Добавление точек останова :</w:t>
      </w:r>
    </w:p>
    <w:p>
      <w:pPr>
        <w:numPr>
          <w:ilvl w:val="0"/>
          <w:numId w:val="1013"/>
        </w:numPr>
        <w:pStyle w:val="Compact"/>
      </w:pPr>
      <w:r>
        <w:t xml:space="preserve">Мы проверили точку останова с помощью информационных точек останова. (рис. 13)</w:t>
      </w:r>
    </w:p>
    <w:p>
      <w:pPr>
        <w:pStyle w:val="CaptionedFigure"/>
      </w:pPr>
      <w:bookmarkStart w:id="74" w:name="fig:13"/>
      <w:r>
        <w:drawing>
          <wp:inline>
            <wp:extent cx="5334000" cy="1074811"/>
            <wp:effectExtent b="0" l="0" r="0" t="0"/>
            <wp:docPr descr="Рис. 13: Ресунок 1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Ресунок 13</w:t>
      </w:r>
    </w:p>
    <w:p>
      <w:pPr>
        <w:numPr>
          <w:ilvl w:val="0"/>
          <w:numId w:val="1014"/>
        </w:numPr>
        <w:pStyle w:val="Compact"/>
      </w:pPr>
      <w:r>
        <w:t xml:space="preserve">Mы определили адрес предпоследней инструкции (</w:t>
      </w:r>
      <w:r>
        <w:rPr>
          <w:bCs/>
          <w:b/>
        </w:rPr>
        <w:t xml:space="preserve">mov ebx,0x0</w:t>
      </w:r>
      <w:r>
        <w:t xml:space="preserve">) и установили точку останова.(рис. 14)</w:t>
      </w:r>
    </w:p>
    <w:p>
      <w:pPr>
        <w:pStyle w:val="CaptionedFigure"/>
      </w:pPr>
      <w:bookmarkStart w:id="78" w:name="fig:14"/>
      <w:r>
        <w:drawing>
          <wp:inline>
            <wp:extent cx="5334000" cy="1010582"/>
            <wp:effectExtent b="0" l="0" r="0" t="0"/>
            <wp:docPr descr="Рис. 14: Ресунок 14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Ресунок 14</w:t>
      </w:r>
    </w:p>
    <w:bookmarkEnd w:id="79"/>
    <w:bookmarkStart w:id="116" w:name="работа-с-данными-программы-в-gd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данными программы в GDB :</w:t>
      </w:r>
    </w:p>
    <w:p>
      <w:pPr>
        <w:numPr>
          <w:ilvl w:val="0"/>
          <w:numId w:val="1015"/>
        </w:numPr>
        <w:pStyle w:val="Compact"/>
      </w:pPr>
      <w:r>
        <w:t xml:space="preserve">На этом шаге мы следовали 5 инструкциям, используя командный шаг i, и отслеживали изменение значений регистров, но перед этим мы проверили предыдущие значения регистров.(рис. 15) (рис. 16)</w:t>
      </w:r>
    </w:p>
    <w:p>
      <w:pPr>
        <w:pStyle w:val="CaptionedFigure"/>
      </w:pPr>
      <w:bookmarkStart w:id="83" w:name="fig:15"/>
      <w:r>
        <w:drawing>
          <wp:inline>
            <wp:extent cx="5334000" cy="3575159"/>
            <wp:effectExtent b="0" l="0" r="0" t="0"/>
            <wp:docPr descr="Рис. 15: Ресунок 15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Ресунок 15</w:t>
      </w:r>
    </w:p>
    <w:p>
      <w:pPr>
        <w:pStyle w:val="CaptionedFigure"/>
      </w:pPr>
      <w:bookmarkStart w:id="87" w:name="fig:16"/>
      <w:r>
        <w:drawing>
          <wp:inline>
            <wp:extent cx="5334000" cy="4781550"/>
            <wp:effectExtent b="0" l="0" r="0" t="0"/>
            <wp:docPr descr="Рис. 16: Ресунок 16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Ресунок 16</w:t>
      </w:r>
    </w:p>
    <w:p>
      <w:pPr>
        <w:numPr>
          <w:ilvl w:val="0"/>
          <w:numId w:val="1016"/>
        </w:numPr>
        <w:pStyle w:val="Compact"/>
      </w:pPr>
      <w:r>
        <w:t xml:space="preserve">После проверки мы видим, что регистры :</w:t>
      </w:r>
      <w:r>
        <w:t xml:space="preserve"> </w:t>
      </w:r>
      <w:r>
        <w:rPr>
          <w:bCs/>
          <w:b/>
        </w:rPr>
        <w:t xml:space="preserve">eax,ecx,edx,ebx,esp</w:t>
      </w:r>
      <w:r>
        <w:t xml:space="preserve"> </w:t>
      </w:r>
      <w:r>
        <w:t xml:space="preserve">изменили свое значение.</w:t>
      </w:r>
    </w:p>
    <w:p>
      <w:pPr>
        <w:numPr>
          <w:ilvl w:val="0"/>
          <w:numId w:val="1017"/>
        </w:numPr>
        <w:pStyle w:val="Compact"/>
      </w:pPr>
      <w:r>
        <w:t xml:space="preserve">Mы рассмотрели значение переменной msg1 по имени, используя команду</w:t>
      </w:r>
      <w:r>
        <w:t xml:space="preserve"> </w:t>
      </w:r>
      <w:r>
        <w:rPr>
          <w:bCs/>
          <w:b/>
        </w:rPr>
        <w:t xml:space="preserve">x/1sb</w:t>
      </w:r>
      <w:r>
        <w:t xml:space="preserve">(рис. 17)</w:t>
      </w:r>
    </w:p>
    <w:p>
      <w:pPr>
        <w:pStyle w:val="CaptionedFigure"/>
      </w:pPr>
      <w:bookmarkStart w:id="91" w:name="fig:17"/>
      <w:r>
        <w:drawing>
          <wp:inline>
            <wp:extent cx="3378200" cy="736600"/>
            <wp:effectExtent b="0" l="0" r="0" t="0"/>
            <wp:docPr descr="Рис. 17: Ресунок 17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Ресунок 17</w:t>
      </w:r>
    </w:p>
    <w:p>
      <w:pPr>
        <w:numPr>
          <w:ilvl w:val="0"/>
          <w:numId w:val="1018"/>
        </w:numPr>
        <w:pStyle w:val="Compact"/>
      </w:pPr>
      <w:r>
        <w:t xml:space="preserve">Здесь мы рассмотрели значение переменной msg2, используя адрес.(рис. 18)</w:t>
      </w:r>
    </w:p>
    <w:p>
      <w:pPr>
        <w:pStyle w:val="CaptionedFigure"/>
      </w:pPr>
      <w:bookmarkStart w:id="95" w:name="fig:18"/>
      <w:r>
        <w:drawing>
          <wp:inline>
            <wp:extent cx="3467100" cy="762000"/>
            <wp:effectExtent b="0" l="0" r="0" t="0"/>
            <wp:docPr descr="Рис. 18: Ресунок 18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Ресунок 18</w:t>
      </w:r>
    </w:p>
    <w:p>
      <w:pPr>
        <w:numPr>
          <w:ilvl w:val="0"/>
          <w:numId w:val="1019"/>
        </w:numPr>
        <w:pStyle w:val="Compact"/>
      </w:pPr>
      <w:r>
        <w:t xml:space="preserve">Здесь мы изменили первую букву переменной</w:t>
      </w:r>
      <w:r>
        <w:t xml:space="preserve"> </w:t>
      </w:r>
      <w:r>
        <w:rPr>
          <w:bCs/>
          <w:b/>
        </w:rPr>
        <w:t xml:space="preserve">msg1</w:t>
      </w:r>
      <w:r>
        <w:t xml:space="preserve">, которая имеет тип</w:t>
      </w:r>
      <w:r>
        <w:t xml:space="preserve"> </w:t>
      </w:r>
      <w:r>
        <w:rPr>
          <w:bCs/>
          <w:b/>
        </w:rPr>
        <w:t xml:space="preserve">char</w:t>
      </w:r>
      <w:r>
        <w:t xml:space="preserve">.(рис. 19)</w:t>
      </w:r>
    </w:p>
    <w:p>
      <w:pPr>
        <w:pStyle w:val="CaptionedFigure"/>
      </w:pPr>
      <w:bookmarkStart w:id="99" w:name="fig:19"/>
      <w:r>
        <w:drawing>
          <wp:inline>
            <wp:extent cx="4406900" cy="1498600"/>
            <wp:effectExtent b="0" l="0" r="0" t="0"/>
            <wp:docPr descr="Рис. 19: Ресунок 19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Ресунок 19</w:t>
      </w:r>
    </w:p>
    <w:p>
      <w:pPr>
        <w:numPr>
          <w:ilvl w:val="0"/>
          <w:numId w:val="1020"/>
        </w:numPr>
        <w:pStyle w:val="Compact"/>
      </w:pPr>
      <w:r>
        <w:t xml:space="preserve">После этого мы изменили первую букву переменной</w:t>
      </w:r>
      <w:r>
        <w:t xml:space="preserve"> </w:t>
      </w:r>
      <w:r>
        <w:rPr>
          <w:bCs/>
          <w:b/>
        </w:rPr>
        <w:t xml:space="preserve">msg2</w:t>
      </w:r>
      <w:r>
        <w:t xml:space="preserve">.(рис. 20)</w:t>
      </w:r>
    </w:p>
    <w:p>
      <w:pPr>
        <w:pStyle w:val="CaptionedFigure"/>
      </w:pPr>
      <w:bookmarkStart w:id="103" w:name="fig:20"/>
      <w:r>
        <w:drawing>
          <wp:inline>
            <wp:extent cx="4889500" cy="1485900"/>
            <wp:effectExtent b="0" l="0" r="0" t="0"/>
            <wp:docPr descr="Рис. 20: Ресунок 20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Ресунок 20</w:t>
      </w:r>
    </w:p>
    <w:p>
      <w:pPr>
        <w:numPr>
          <w:ilvl w:val="0"/>
          <w:numId w:val="1021"/>
        </w:numPr>
        <w:pStyle w:val="Compact"/>
      </w:pPr>
      <w:r>
        <w:t xml:space="preserve">Затем мы выводим значение регистра</w:t>
      </w:r>
      <w:r>
        <w:t xml:space="preserve"> </w:t>
      </w:r>
      <w:r>
        <w:rPr>
          <w:bCs/>
          <w:b/>
        </w:rPr>
        <w:t xml:space="preserve">edx</w:t>
      </w:r>
      <w:r>
        <w:t xml:space="preserve"> </w:t>
      </w:r>
      <w:r>
        <w:t xml:space="preserve">в различных форматах (шестнадцатеричном, двоичном и символьном).(рис. 21)</w:t>
      </w:r>
    </w:p>
    <w:p>
      <w:pPr>
        <w:pStyle w:val="CaptionedFigure"/>
      </w:pPr>
      <w:bookmarkStart w:id="107" w:name="fig:21"/>
      <w:r>
        <w:drawing>
          <wp:inline>
            <wp:extent cx="5334000" cy="2991028"/>
            <wp:effectExtent b="0" l="0" r="0" t="0"/>
            <wp:docPr descr="Рис. 21: Ресунок 21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Ресунок 21</w:t>
      </w:r>
    </w:p>
    <w:p>
      <w:pPr>
        <w:numPr>
          <w:ilvl w:val="0"/>
          <w:numId w:val="1022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bCs/>
          <w:b/>
        </w:rPr>
        <w:t xml:space="preserve">set</w:t>
      </w:r>
      <w:r>
        <w:t xml:space="preserve">, мы изменили значение регистра</w:t>
      </w:r>
      <w:r>
        <w:t xml:space="preserve"> </w:t>
      </w:r>
      <w:r>
        <w:rPr>
          <w:bCs/>
          <w:b/>
        </w:rPr>
        <w:t xml:space="preserve">ebx</w:t>
      </w:r>
      <w:r>
        <w:t xml:space="preserve">, когда раз, введя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а в другой раз, введя</w:t>
      </w:r>
      <w:r>
        <w:t xml:space="preserve"> </w:t>
      </w:r>
      <w:r>
        <w:rPr>
          <w:bCs/>
          <w:b/>
        </w:rPr>
        <w:t xml:space="preserve">2</w:t>
      </w:r>
      <w:r>
        <w:t xml:space="preserve">.(рис. 22)</w:t>
      </w:r>
    </w:p>
    <w:p>
      <w:pPr>
        <w:pStyle w:val="CaptionedFigure"/>
      </w:pPr>
      <w:bookmarkStart w:id="111" w:name="fig:22"/>
      <w:r>
        <w:drawing>
          <wp:inline>
            <wp:extent cx="5334000" cy="3205350"/>
            <wp:effectExtent b="0" l="0" r="0" t="0"/>
            <wp:docPr descr="Рис. 22: Ресунок 22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Ресунок 22</w:t>
      </w:r>
    </w:p>
    <w:p>
      <w:pPr>
        <w:numPr>
          <w:ilvl w:val="0"/>
          <w:numId w:val="1023"/>
        </w:numPr>
        <w:pStyle w:val="Compact"/>
      </w:pPr>
      <w:r>
        <w:t xml:space="preserve">но когда мы напечатали значение регистра, мы получили значение</w:t>
      </w:r>
      <w:r>
        <w:t xml:space="preserve"> </w:t>
      </w:r>
      <w:r>
        <w:rPr>
          <w:bCs/>
          <w:b/>
        </w:rPr>
        <w:t xml:space="preserve">50</w:t>
      </w:r>
      <w:r>
        <w:t xml:space="preserve"> </w:t>
      </w:r>
      <w:r>
        <w:t xml:space="preserve">и это потому, что машина интерпретировала введенное значение как символ, и в таблице</w:t>
      </w:r>
      <w:r>
        <w:t xml:space="preserve"> </w:t>
      </w:r>
      <w:r>
        <w:rPr>
          <w:bCs/>
          <w:b/>
        </w:rPr>
        <w:t xml:space="preserve">ASCII</w:t>
      </w:r>
      <w:r>
        <w:t xml:space="preserve"> </w:t>
      </w:r>
      <w:r>
        <w:t xml:space="preserve">символ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bCs/>
          <w:b/>
        </w:rPr>
        <w:t xml:space="preserve">50</w:t>
      </w:r>
      <w:r>
        <w:t xml:space="preserve"> </w:t>
      </w:r>
      <w:r>
        <w:t xml:space="preserve">в десятичной системе, но когда мы ввели значение</w:t>
      </w:r>
      <w:r>
        <w:t xml:space="preserve"> </w:t>
      </w:r>
      <w:r>
        <w:rPr>
          <w:bCs/>
          <w:b/>
        </w:rPr>
        <w:t xml:space="preserve">2</w:t>
      </w:r>
      <w:r>
        <w:t xml:space="preserve"> </w:t>
      </w:r>
      <w:r>
        <w:t xml:space="preserve">машина интерпретировала</w:t>
      </w:r>
      <w:r>
        <w:t xml:space="preserve"> </w:t>
      </w:r>
      <w:r>
        <w:rPr>
          <w:bCs/>
          <w:b/>
        </w:rPr>
        <w:t xml:space="preserve">2</w:t>
      </w:r>
      <w:r>
        <w:t xml:space="preserve"> </w:t>
      </w:r>
      <w:r>
        <w:t xml:space="preserve">как число в десятичной системе.</w:t>
      </w:r>
    </w:p>
    <w:p>
      <w:pPr>
        <w:numPr>
          <w:ilvl w:val="0"/>
          <w:numId w:val="1024"/>
        </w:numPr>
        <w:pStyle w:val="Compact"/>
      </w:pPr>
      <w:r>
        <w:t xml:space="preserve">Наконец, мы завершили программу с помощью</w:t>
      </w:r>
      <w:r>
        <w:t xml:space="preserve"> </w:t>
      </w:r>
      <w:r>
        <w:rPr>
          <w:bCs/>
          <w:b/>
        </w:rPr>
        <w:t xml:space="preserve">stepi</w:t>
      </w:r>
      <w:r>
        <w:t xml:space="preserve"> </w:t>
      </w:r>
      <w:r>
        <w:t xml:space="preserve">и вышли из GDB с помощью команды</w:t>
      </w:r>
      <w:r>
        <w:t xml:space="preserve"> </w:t>
      </w:r>
      <w:r>
        <w:rPr>
          <w:bCs/>
          <w:b/>
        </w:rPr>
        <w:t xml:space="preserve">quit</w:t>
      </w:r>
      <w:r>
        <w:t xml:space="preserve">.(рис. 23)</w:t>
      </w:r>
    </w:p>
    <w:p>
      <w:pPr>
        <w:pStyle w:val="CaptionedFigure"/>
      </w:pPr>
      <w:bookmarkStart w:id="115" w:name="fig:23"/>
      <w:r>
        <w:drawing>
          <wp:inline>
            <wp:extent cx="5334000" cy="8131628"/>
            <wp:effectExtent b="0" l="0" r="0" t="0"/>
            <wp:docPr descr="Рис. 23: Ресунок 23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23: Ресунок 23</w:t>
      </w:r>
    </w:p>
    <w:bookmarkEnd w:id="116"/>
    <w:bookmarkStart w:id="129" w:name="X34484a9d02dddcc072527afae661c9b2711698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Обработка аргументов командной строки в GDB :</w:t>
      </w:r>
    </w:p>
    <w:p>
      <w:pPr>
        <w:numPr>
          <w:ilvl w:val="0"/>
          <w:numId w:val="1025"/>
        </w:numPr>
        <w:pStyle w:val="Compact"/>
      </w:pPr>
      <w:r>
        <w:t xml:space="preserve">На этом этапе мы скопировали файл</w:t>
      </w:r>
      <w:r>
        <w:t xml:space="preserve"> </w:t>
      </w:r>
      <w:r>
        <w:rPr>
          <w:bCs/>
          <w:b/>
        </w:rPr>
        <w:t xml:space="preserve">lab9-2.asm</w:t>
      </w:r>
      <w:r>
        <w:t xml:space="preserve">, созданный при выполнении лабораторной работы</w:t>
      </w:r>
      <w:r>
        <w:t xml:space="preserve"> </w:t>
      </w:r>
      <w:r>
        <w:rPr>
          <w:bCs/>
          <w:b/>
        </w:rPr>
        <w:t xml:space="preserve">№9</w:t>
      </w:r>
      <w:r>
        <w:t xml:space="preserve"> </w:t>
      </w:r>
      <w:r>
        <w:t xml:space="preserve">с программой, отображающей аргументы командной строки на экране (листинг 9.2), в файл с именем</w:t>
      </w:r>
      <w:r>
        <w:t xml:space="preserve"> </w:t>
      </w:r>
      <w:r>
        <w:rPr>
          <w:bCs/>
          <w:b/>
        </w:rPr>
        <w:t xml:space="preserve">lab 10-3.asm</w:t>
      </w:r>
      <w:r>
        <w:t xml:space="preserve">, а затем мы скомпилировали этот файл и установил точку останова в **_start** и запустил отладчик.(рис. 24)</w:t>
      </w:r>
    </w:p>
    <w:p>
      <w:pPr>
        <w:pStyle w:val="CaptionedFigure"/>
      </w:pPr>
      <w:bookmarkStart w:id="120" w:name="fig:24"/>
      <w:r>
        <w:drawing>
          <wp:inline>
            <wp:extent cx="5334000" cy="3191499"/>
            <wp:effectExtent b="0" l="0" r="0" t="0"/>
            <wp:docPr descr="Рис. 24: Ресунок 24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24: Ресунок 24</w:t>
      </w:r>
    </w:p>
    <w:p>
      <w:pPr>
        <w:numPr>
          <w:ilvl w:val="0"/>
          <w:numId w:val="1026"/>
        </w:numPr>
        <w:pStyle w:val="Compact"/>
      </w:pPr>
      <w:r>
        <w:t xml:space="preserve">Затем мы посмотрели на остальные позиции стека – адрес в памяти, где находится имя программы, находится в</w:t>
      </w:r>
      <w:r>
        <w:t xml:space="preserve"> </w:t>
      </w:r>
      <w:r>
        <w:rPr>
          <w:iCs/>
          <w:i/>
        </w:rPr>
        <w:t xml:space="preserve">[esp + 4]</w:t>
      </w:r>
      <w:r>
        <w:t xml:space="preserve">, адрес первого аргумента хранится в</w:t>
      </w:r>
      <w:r>
        <w:t xml:space="preserve"> </w:t>
      </w:r>
      <w:r>
        <w:rPr>
          <w:iCs/>
          <w:i/>
        </w:rPr>
        <w:t xml:space="preserve">[esp +8]</w:t>
      </w:r>
      <w:r>
        <w:t xml:space="preserve">, в</w:t>
      </w:r>
      <w:r>
        <w:t xml:space="preserve"> </w:t>
      </w:r>
      <w:r>
        <w:rPr>
          <w:iCs/>
          <w:i/>
        </w:rPr>
        <w:t xml:space="preserve">[esp +12]</w:t>
      </w:r>
      <w:r>
        <w:t xml:space="preserve">.(рис. 25)</w:t>
      </w:r>
    </w:p>
    <w:p>
      <w:pPr>
        <w:pStyle w:val="CaptionedFigure"/>
      </w:pPr>
      <w:bookmarkStart w:id="124" w:name="fig:25"/>
      <w:r>
        <w:drawing>
          <wp:inline>
            <wp:extent cx="5334000" cy="2476269"/>
            <wp:effectExtent b="0" l="0" r="0" t="0"/>
            <wp:docPr descr="Рис. 25: Ресунок 25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25: Ресунок 25</w:t>
      </w:r>
    </w:p>
    <w:p>
      <w:pPr>
        <w:numPr>
          <w:ilvl w:val="0"/>
          <w:numId w:val="1027"/>
        </w:numPr>
        <w:pStyle w:val="Compact"/>
      </w:pPr>
      <w:r>
        <w:t xml:space="preserve">Шаг изменения адреса равен 4, потому что размер регистра</w:t>
      </w:r>
      <w:r>
        <w:t xml:space="preserve"> </w:t>
      </w:r>
      <w:r>
        <w:rPr>
          <w:bCs/>
          <w:b/>
        </w:rPr>
        <w:t xml:space="preserve">esp</w:t>
      </w:r>
      <w:r>
        <w:t xml:space="preserve"> </w:t>
      </w:r>
      <w:r>
        <w:t xml:space="preserve">равен</w:t>
      </w:r>
      <w:r>
        <w:t xml:space="preserve"> </w:t>
      </w:r>
      <w:r>
        <w:rPr>
          <w:bCs/>
          <w:b/>
        </w:rPr>
        <w:t xml:space="preserve">32битам = 4 байтам</w:t>
      </w:r>
      <w:r>
        <w:t xml:space="preserve">, а количество памяти равно количеству аргументов плюс имя программы, поэтому мы получили 5 шагов с 4 байтами для каждого шага.(рис. 26)</w:t>
      </w:r>
    </w:p>
    <w:p>
      <w:pPr>
        <w:pStyle w:val="CaptionedFigure"/>
      </w:pPr>
      <w:bookmarkStart w:id="128" w:name="fig:26"/>
      <w:r>
        <w:drawing>
          <wp:inline>
            <wp:extent cx="5334000" cy="4000500"/>
            <wp:effectExtent b="0" l="0" r="0" t="0"/>
            <wp:docPr descr="Рис. 26: Ресунок 26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26: Ресунок 26</w:t>
      </w:r>
    </w:p>
    <w:bookmarkEnd w:id="129"/>
    <w:bookmarkStart w:id="130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28"/>
        </w:numPr>
        <w:pStyle w:val="Compact"/>
      </w:pPr>
      <w:r>
        <w:t xml:space="preserve">В этой части работы мы узнали, как работать с отладчиком GDB, и получили более близкое представление о том, как работают подпрограммы.</w:t>
      </w:r>
    </w:p>
    <w:bookmarkEnd w:id="130"/>
    <w:bookmarkEnd w:id="131"/>
    <w:bookmarkStart w:id="13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132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29"/>
        </w:numPr>
        <w:pStyle w:val="Compact"/>
      </w:pPr>
      <w:r>
        <w:t xml:space="preserve">В этой части мы узнали, как превратить программу в подпрограмму, но у нас возникла проблема с подпрограммой</w:t>
      </w:r>
      <w:r>
        <w:t xml:space="preserve"> </w:t>
      </w:r>
      <w:r>
        <w:rPr>
          <w:bCs/>
          <w:b/>
        </w:rPr>
        <w:t xml:space="preserve">atoi</w:t>
      </w:r>
      <w:r>
        <w:rPr>
          <w:bCs/>
          <w:b/>
        </w:rPr>
        <w:t xml:space="preserve"> </w:t>
      </w:r>
      <w:r>
        <w:t xml:space="preserve">, поэтому мы не смогли вычислить результат.</w:t>
      </w:r>
    </w:p>
    <w:bookmarkEnd w:id="132"/>
    <w:bookmarkEnd w:id="133"/>
    <w:bookmarkStart w:id="134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30"/>
        </w:numPr>
        <w:pStyle w:val="Compact"/>
      </w:pPr>
      <w:r>
        <w:t xml:space="preserve">В этой лабораторной работе мы научимся писать программы с использованием подпрограмм и познакомимся со способами отладки с использованием GDB и его основными функциями</w:t>
      </w:r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5" Target="media/rId25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№10</dc:title>
  <dc:creator>Мугари Абдеррахим , НКАбд-03-22</dc:creator>
  <dc:language>ru-RU</dc:language>
  <cp:keywords/>
  <dcterms:created xsi:type="dcterms:W3CDTF">2022-12-17T20:45:13Z</dcterms:created>
  <dcterms:modified xsi:type="dcterms:W3CDTF">2022-12-17T20:45:13Z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