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9.png" ContentType="image/png"/>
  <Override PartName="/word/media/rId73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2.png" ContentType="image/png"/>
  <Override PartName="/word/media/rId102.png" ContentType="image/png"/>
  <Override PartName="/word/media/rId106.png" ContentType="image/png"/>
  <Override PartName="/word/media/rId97.png" ContentType="image/png"/>
  <Override PartName="/word/media/rId111.png" ContentType="image/png"/>
  <Override PartName="/word/media/rId31.png" ContentType="image/png"/>
  <Override PartName="/word/media/rId115.png" ContentType="image/png"/>
  <Override PartName="/word/media/rId119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5.png" ContentType="image/png"/>
  <Override PartName="/word/media/rId59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Изучение модели TCP/AQM в сетевых системах</w:t>
      </w:r>
    </w:p>
    <w:p>
      <w:pPr>
        <w:pStyle w:val="Subtitle"/>
      </w:pPr>
      <w:r>
        <w:t xml:space="preserve">Анализ управления очередями в TCP</w:t>
      </w:r>
    </w:p>
    <w:p>
      <w:pPr>
        <w:pStyle w:val="Author"/>
      </w:pPr>
      <w:r>
        <w:t xml:space="preserve">Мугари Абдеррахим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Изучение модели TCP/AQM в сетевых системах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задачей данной лабораторной работы является реализация модели TCP/AQM с использованием инструментов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Разработать модель TCP/AQM в средах xcos</w:t>
      </w:r>
      <w:r>
        <w:t xml:space="preserve"> </w:t>
      </w:r>
      <w:r>
        <w:t xml:space="preserve">[1]</w:t>
      </w:r>
      <w:r>
        <w:t xml:space="preserve"> </w:t>
      </w:r>
      <w:r>
        <w:t xml:space="preserve">и OpenModelica.</w:t>
      </w:r>
    </w:p>
    <w:p>
      <w:pPr>
        <w:pStyle w:val="Compact"/>
        <w:numPr>
          <w:ilvl w:val="0"/>
          <w:numId w:val="1001"/>
        </w:numPr>
      </w:pPr>
      <w:r>
        <w:t xml:space="preserve">Построить график, демонстрирующий динамику изменения очереди и TCP-окна.</w:t>
      </w:r>
    </w:p>
    <w:p>
      <w:pPr>
        <w:pStyle w:val="Compact"/>
        <w:numPr>
          <w:ilvl w:val="0"/>
          <w:numId w:val="1001"/>
        </w:numPr>
      </w:pPr>
      <w:r>
        <w:t xml:space="preserve">Построить фазовый портрет, отображающий взаимосвязь между размером очереди и TCP-окном.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Рассмотрим упрощённую модель поведения TCP-подобного трафика с регулируемой</w:t>
      </w:r>
      <w:r>
        <w:t xml:space="preserve"> </w:t>
      </w:r>
      <w:r>
        <w:t xml:space="preserve">некоторым AQM алгоритмом динамической интенсивностью потока</w:t>
      </w:r>
      <w:r>
        <w:t xml:space="preserve"> </w:t>
      </w:r>
      <w:r>
        <w:t xml:space="preserve">[2]</w:t>
      </w:r>
      <w:r>
        <w:t xml:space="preserve">..</w:t>
      </w:r>
    </w:p>
    <w:p>
      <w:pPr>
        <w:pStyle w:val="BodyText"/>
      </w:pP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- средний размер TCP-окна (в пакетах, функция положительна),</w:t>
      </w:r>
    </w:p>
    <w:p>
      <w:pPr>
        <w:pStyle w:val="BodyText"/>
      </w:pP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- средний размер очереди (в пакетах, функция положительна),</w:t>
      </w:r>
    </w:p>
    <w:p>
      <w:pPr>
        <w:pStyle w:val="BodyText"/>
      </w:pPr>
      <m:oMath>
        <m:r>
          <m:t>R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- время двойного оборота (Round Trip Time, сек.)</w:t>
      </w:r>
    </w:p>
    <w:p>
      <w:pPr>
        <w:pStyle w:val="BodyText"/>
      </w:pPr>
      <m:oMath>
        <m:r>
          <m:t>C</m:t>
        </m:r>
      </m:oMath>
      <w:r>
        <w:t xml:space="preserve"> </w:t>
      </w:r>
      <w:r>
        <w:t xml:space="preserve">- скорость обработки пакетов в очереди (пакетов в секунду)</w:t>
      </w:r>
    </w:p>
    <w:p>
      <w:pPr>
        <w:pStyle w:val="BodyText"/>
      </w:pPr>
      <m:oMath>
        <m:r>
          <m:t>N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- число TCP-сессий</w:t>
      </w:r>
    </w:p>
    <w:p>
      <w:pPr>
        <w:pStyle w:val="BodyText"/>
      </w:pPr>
      <m:oMath>
        <m:r>
          <m:t>p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R</m:t>
            </m:r>
            <m:d>
              <m:dPr>
                <m:begChr m:val="("/>
                <m:sepChr m:val=""/>
                <m:endChr m:val=")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- вероятностная функция сброса (отметки на сброс) пакета, значения которой лежат на интервале</w:t>
      </w:r>
      <w:r>
        <w:t xml:space="preserve"> </w:t>
      </w:r>
      <m:oMath>
        <m:d>
          <m:dPr>
            <m:begChr m:val="["/>
            <m:sepChr m:val=""/>
            <m:endChr m:val="]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.</w:t>
      </w:r>
    </w:p>
    <w:p>
      <w:pPr>
        <w:pStyle w:val="BodyText"/>
      </w:pPr>
      <w:r>
        <w:t xml:space="preserve">Примем</w:t>
      </w:r>
      <w:r>
        <w:t xml:space="preserve"> </w:t>
      </w:r>
      <m:oMath>
        <m:r>
          <m:t>N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  <m:r>
          <m:rPr>
            <m:sty m:val="p"/>
          </m:rPr>
          <m:t>≡</m:t>
        </m:r>
        <m:r>
          <m:t>N</m:t>
        </m:r>
      </m:oMath>
      <w:r>
        <w:t xml:space="preserve">,</w:t>
      </w:r>
      <w:r>
        <w:t xml:space="preserve"> </w:t>
      </w:r>
      <m:oMath>
        <m:r>
          <m:t>R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  <m:r>
          <m:rPr>
            <m:sty m:val="p"/>
          </m:rPr>
          <m:t>≡</m:t>
        </m:r>
        <m:r>
          <m:t>R</m:t>
        </m:r>
      </m:oMath>
      <w:r>
        <w:t xml:space="preserve">, т. е. указанные величины положим постоянными, не изменяющимися во времени. Также положим</w:t>
      </w:r>
      <w:r>
        <w:t xml:space="preserve"> </w:t>
      </w:r>
      <m:oMath>
        <m:r>
          <m:t>p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  <m:r>
              <m:rPr>
                <m:sty m:val="p"/>
              </m:rPr>
              <m:t>−</m:t>
            </m:r>
            <m:r>
              <m:t>R</m:t>
            </m:r>
            <m:d>
              <m:dPr>
                <m:begChr m:val="("/>
                <m:sepChr m:val=""/>
                <m:endChr m:val=")"/>
                <m:grow/>
              </m:dPr>
              <m:e>
                <m:r>
                  <m:t>t</m:t>
                </m:r>
              </m:e>
            </m:d>
          </m:e>
        </m:d>
        <m:r>
          <m:rPr>
            <m:sty m:val="p"/>
          </m:rPr>
          <m:t>=</m:t>
        </m:r>
        <m:r>
          <m:t>K</m:t>
        </m:r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, т.е. функция сброса пакетов пропорциональна длине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.</w:t>
      </w:r>
    </w:p>
    <w:p>
      <w:pPr>
        <w:pStyle w:val="BodyText"/>
      </w:pPr>
      <w:r>
        <w:t xml:space="preserve">Тогда получим систему</w:t>
      </w:r>
    </w:p>
    <w:p>
      <w:pPr>
        <w:pStyle w:val="BodyText"/>
      </w:pPr>
      <w:bookmarkStart w:id="22" w:name="eq:eq:W"/>
      <m:oMathPara>
        <m:oMathParaPr>
          <m:jc m:val="center"/>
        </m:oMathParaPr>
        <m:oMath>
          <m:acc>
            <m:accPr>
              <m:chr m:val="̇"/>
            </m:accPr>
            <m:e>
              <m:r>
                <m:t>W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R</m:t>
              </m:r>
            </m:den>
          </m:f>
          <m:r>
            <m:rPr>
              <m:sty m:val="p"/>
            </m:rPr>
            <m:t>−</m:t>
          </m:r>
          <m:f>
            <m:fPr>
              <m:type m:val="bar"/>
            </m:fPr>
            <m:num>
              <m:r>
                <m:t>W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</m:e>
              </m:d>
              <m:r>
                <m:t>W</m:t>
              </m:r>
              <m:d>
                <m:dPr>
                  <m:begChr m:val="("/>
                  <m:sepChr m:val=""/>
                  <m:endChr m:val=")"/>
                  <m:grow/>
                </m:dPr>
                <m:e>
                  <m:r>
                    <m:t>t</m:t>
                  </m:r>
                  <m:r>
                    <m:rPr>
                      <m:sty m:val="p"/>
                    </m:rPr>
                    <m:t>−</m:t>
                  </m:r>
                  <m:r>
                    <m:t>R</m:t>
                  </m:r>
                </m:e>
              </m:d>
            </m:num>
            <m:den>
              <m:r>
                <m:t>2</m:t>
              </m:r>
              <m:r>
                <m:t>R</m:t>
              </m:r>
            </m:den>
          </m:f>
          <m:r>
            <m:t>K</m:t>
          </m:r>
          <m:r>
            <m:t>Q</m:t>
          </m:r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  <m:r>
                <m:rPr>
                  <m:sty m:val="p"/>
                </m:rPr>
                <m:t>−</m:t>
              </m:r>
              <m:r>
                <m:t>R</m:t>
              </m:r>
            </m:e>
          </m:d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1</m:t>
              </m:r>
            </m:e>
          </m:d>
        </m:oMath>
      </m:oMathPara>
      <w:bookmarkEnd w:id="22"/>
    </w:p>
    <w:p>
      <w:pPr>
        <w:pStyle w:val="FirstParagraph"/>
      </w:pPr>
      <w:bookmarkStart w:id="23" w:name="eq:eq:Q"/>
      <m:oMathPara>
        <m:oMathParaPr>
          <m:jc m:val="center"/>
        </m:oMathParaPr>
        <m:oMath>
          <m:acc>
            <m:accPr>
              <m:chr m:val="̇"/>
            </m:accPr>
            <m:e>
              <m:r>
                <m:t>Q</m:t>
              </m:r>
            </m:e>
          </m:acc>
          <m:d>
            <m:dPr>
              <m:begChr m:val="("/>
              <m:sepChr m:val=""/>
              <m:endChr m:val=")"/>
              <m:grow/>
            </m:dPr>
            <m:e>
              <m:r>
                <m:t>t</m:t>
              </m:r>
            </m:e>
          </m:d>
          <m:r>
            <m:rPr>
              <m:sty m:val="p"/>
            </m:rPr>
            <m:t>=</m:t>
          </m:r>
          <m:d>
            <m:dPr>
              <m:begChr m:val="{"/>
              <m:sepChr m:val=""/>
              <m:end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left"/>
                        <m:count m:val="1"/>
                      </m:mcPr>
                    </m:mc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N</m:t>
                        </m:r>
                        <m:r>
                          <m:t>W</m:t>
                        </m:r>
                        <m:d>
                          <m:dPr>
                            <m:begChr m:val="("/>
                            <m:sepChr m:val="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num>
                      <m:den>
                        <m:r>
                          <m:t>R</m:t>
                        </m:r>
                      </m:den>
                    </m:f>
                    <m:r>
                      <m:rPr>
                        <m:sty m:val="p"/>
                      </m:rPr>
                      <m:t>−</m:t>
                    </m:r>
                    <m:r>
                      <m:t>C</m:t>
                    </m:r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Q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&gt;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max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N</m:t>
                            </m:r>
                            <m:r>
                              <m:t>W</m:t>
                            </m:r>
                            <m:d>
                              <m:dPr>
                                <m:begChr m:val="("/>
                                <m:sepChr m:val=""/>
                                <m:endChr m:val=")"/>
                                <m:grow/>
                              </m:dPr>
                              <m:e>
                                <m:r>
                                  <m:t>t</m:t>
                                </m:r>
                              </m:e>
                            </m:d>
                          </m:num>
                          <m:den>
                            <m:r>
                              <m:t>R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C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0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  <m:e>
                    <m:r>
                      <m:t>Q</m:t>
                    </m:r>
                    <m:d>
                      <m:dPr>
                        <m:begChr m:val="("/>
                        <m:sepChr m:val="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  <m:r>
            <m:t>  </m:t>
          </m:r>
          <m:d>
            <m:dPr>
              <m:begChr m:val="("/>
              <m:sepChr m:val=""/>
              <m:endChr m:val=")"/>
              <m:grow/>
            </m:dPr>
            <m:e>
              <m:r>
                <m:t>2</m:t>
              </m:r>
            </m:e>
          </m:d>
        </m:oMath>
      </m:oMathPara>
      <w:bookmarkEnd w:id="23"/>
    </w:p>
    <w:bookmarkEnd w:id="24"/>
    <w:bookmarkStart w:id="12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5" w:name="реализация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в xcos</w:t>
      </w:r>
    </w:p>
    <w:bookmarkEnd w:id="25"/>
    <w:bookmarkStart w:id="30" w:name="настройка-переменных-окруже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Настройка переменных окружения</w:t>
      </w:r>
    </w:p>
    <w:p>
      <w:pPr>
        <w:pStyle w:val="FirstParagraph"/>
      </w:pPr>
      <w:r>
        <w:t xml:space="preserve">Сначала определим переменные окружения: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R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K</m:t>
        </m:r>
        <m:r>
          <m:rPr>
            <m:sty m:val="p"/>
          </m:rPr>
          <m:t>=</m:t>
        </m:r>
        <m:r>
          <m:t>5.3</m:t>
        </m:r>
        <m:r>
          <m:rPr>
            <m:sty m:val="p"/>
          </m:rPr>
          <m:t>,</m:t>
        </m:r>
        <m:r>
          <m:t>C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0.1</m:t>
        </m:r>
        <m:r>
          <m:rPr>
            <m:sty m:val="p"/>
          </m:rPr>
          <m:t>,</m:t>
        </m:r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0</m:t>
            </m:r>
          </m:e>
        </m:d>
        <m:r>
          <m:rPr>
            <m:sty m:val="p"/>
          </m:rPr>
          <m:t>=</m:t>
        </m:r>
        <m:r>
          <m:t>1</m:t>
        </m:r>
      </m:oMath>
      <w:r>
        <w:t xml:space="preserve">.</w:t>
      </w:r>
    </w:p>
    <w:p>
      <w:pPr>
        <w:pStyle w:val="BodyText"/>
      </w:pPr>
      <w:r>
        <w:t xml:space="preserve">Для этого сначала определяем переменные окружения. (рис. 1).</w:t>
      </w:r>
    </w:p>
    <w:bookmarkStart w:id="29" w:name="fig:001"/>
    <w:p>
      <w:pPr>
        <w:pStyle w:val="CaptionedFigure"/>
      </w:pPr>
      <w:r>
        <w:drawing>
          <wp:inline>
            <wp:extent cx="3733800" cy="2491888"/>
            <wp:effectExtent b="0" l="0" r="0" t="0"/>
            <wp:docPr descr="Рис. 1: Переменные окружения" title="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1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Переменные окружения</w:t>
      </w:r>
    </w:p>
    <w:bookmarkEnd w:id="29"/>
    <w:bookmarkEnd w:id="30"/>
    <w:bookmarkStart w:id="35" w:name="параметры-моделирования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Параметры моделирования</w:t>
      </w:r>
    </w:p>
    <w:p>
      <w:pPr>
        <w:pStyle w:val="FirstParagraph"/>
      </w:pPr>
      <w:r>
        <w:t xml:space="preserve">Так же устанавливаем время моделирования (100 единиц времени). (рис. 2).</w:t>
      </w:r>
    </w:p>
    <w:bookmarkStart w:id="34" w:name="fig:002"/>
    <w:p>
      <w:pPr>
        <w:pStyle w:val="CaptionedFigure"/>
      </w:pPr>
      <w:r>
        <w:drawing>
          <wp:inline>
            <wp:extent cx="3733800" cy="2342522"/>
            <wp:effectExtent b="0" l="0" r="0" t="0"/>
            <wp:docPr descr="Рис. 2: Параметры моделирования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2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моделирования</w:t>
      </w:r>
    </w:p>
    <w:bookmarkEnd w:id="34"/>
    <w:bookmarkEnd w:id="35"/>
    <w:bookmarkStart w:id="44" w:name="начальные-условия-интеграторов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Начальные условия интеграторов</w:t>
      </w:r>
    </w:p>
    <w:p>
      <w:pPr>
        <w:pStyle w:val="FirstParagraph"/>
      </w:pPr>
      <w:r>
        <w:t xml:space="preserve">Зададим стартовые значения для интеграторов (рис. 3, 4).</w:t>
      </w:r>
    </w:p>
    <w:bookmarkStart w:id="39" w:name="fig:003"/>
    <w:p>
      <w:pPr>
        <w:pStyle w:val="CaptionedFigure"/>
      </w:pPr>
      <w:r>
        <w:drawing>
          <wp:inline>
            <wp:extent cx="3733800" cy="2225605"/>
            <wp:effectExtent b="0" l="0" r="0" t="0"/>
            <wp:docPr descr="Рис. 3: Установка начального значения интегратора" title="" id="37" name="Picture"/>
            <a:graphic>
              <a:graphicData uri="http://schemas.openxmlformats.org/drawingml/2006/picture">
                <pic:pic>
                  <pic:nvPicPr>
                    <pic:cNvPr descr="image/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начального значения интегратора</w:t>
      </w:r>
    </w:p>
    <w:bookmarkEnd w:id="39"/>
    <w:bookmarkStart w:id="43" w:name="fig:004"/>
    <w:p>
      <w:pPr>
        <w:pStyle w:val="CaptionedFigure"/>
      </w:pPr>
      <w:r>
        <w:drawing>
          <wp:inline>
            <wp:extent cx="3733800" cy="2225605"/>
            <wp:effectExtent b="0" l="0" r="0" t="0"/>
            <wp:docPr descr="Рис. 4: Установка начального значения интегратора" title="" id="41" name="Picture"/>
            <a:graphic>
              <a:graphicData uri="http://schemas.openxmlformats.org/drawingml/2006/picture">
                <pic:pic>
                  <pic:nvPicPr>
                    <pic:cNvPr descr="image/4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начального значения интегратора</w:t>
      </w:r>
    </w:p>
    <w:bookmarkEnd w:id="43"/>
    <w:bookmarkEnd w:id="44"/>
    <w:bookmarkStart w:id="49" w:name="настройка-задержки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Настройка задержки</w:t>
      </w:r>
    </w:p>
    <w:p>
      <w:pPr>
        <w:pStyle w:val="FirstParagraph"/>
      </w:pPr>
      <w:r>
        <w:t xml:space="preserve">Определим параметр задержки (рис. 5).</w:t>
      </w:r>
    </w:p>
    <w:bookmarkStart w:id="48" w:name="fig:005"/>
    <w:p>
      <w:pPr>
        <w:pStyle w:val="CaptionedFigure"/>
      </w:pPr>
      <w:r>
        <w:drawing>
          <wp:inline>
            <wp:extent cx="3733800" cy="2463873"/>
            <wp:effectExtent b="0" l="0" r="0" t="0"/>
            <wp:docPr descr="Рис. 5: Установка задержки" title="" id="46" name="Picture"/>
            <a:graphic>
              <a:graphicData uri="http://schemas.openxmlformats.org/drawingml/2006/picture">
                <pic:pic>
                  <pic:nvPicPr>
                    <pic:cNvPr descr="image/5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задержки</w:t>
      </w:r>
    </w:p>
    <w:bookmarkEnd w:id="48"/>
    <w:bookmarkEnd w:id="49"/>
    <w:bookmarkStart w:id="54" w:name="выражение-для-производной-очереди"/>
    <w:p>
      <w:pPr>
        <w:pStyle w:val="Heading2"/>
      </w:pPr>
      <w:r>
        <w:rPr>
          <w:rStyle w:val="SectionNumber"/>
        </w:rPr>
        <w:t xml:space="preserve">4.6</w:t>
      </w:r>
      <w:r>
        <w:tab/>
      </w:r>
      <w:r>
        <w:t xml:space="preserve">Выражение для производной очереди</w:t>
      </w:r>
    </w:p>
    <w:p>
      <w:pPr>
        <w:pStyle w:val="FirstParagraph"/>
      </w:pPr>
      <w:r>
        <w:t xml:space="preserve">В блоке Expression вводим формулу для</w:t>
      </w:r>
      <w:r>
        <w:t xml:space="preserve"> </w:t>
      </w:r>
      <m:oMath>
        <m:acc>
          <m:accPr>
            <m:chr m:val="̇"/>
          </m:accPr>
          <m:e>
            <m:r>
              <m:t>Q</m:t>
            </m:r>
          </m:e>
        </m:acc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(рис. 6).</w:t>
      </w:r>
    </w:p>
    <w:bookmarkStart w:id="53" w:name="fig:006"/>
    <w:p>
      <w:pPr>
        <w:pStyle w:val="CaptionedFigure"/>
      </w:pPr>
      <w:r>
        <w:drawing>
          <wp:inline>
            <wp:extent cx="3733800" cy="2025851"/>
            <wp:effectExtent b="0" l="0" r="0" t="0"/>
            <wp:docPr descr="Рис. 6: Параметры блока Expression" title="" id="51" name="Picture"/>
            <a:graphic>
              <a:graphicData uri="http://schemas.openxmlformats.org/drawingml/2006/picture">
                <pic:pic>
                  <pic:nvPicPr>
                    <pic:cNvPr descr="image/6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Параметры блока Expression</w:t>
      </w:r>
    </w:p>
    <w:bookmarkEnd w:id="53"/>
    <w:bookmarkEnd w:id="54"/>
    <w:bookmarkStart w:id="63" w:name="настройка-регистрирующих-модулей"/>
    <w:p>
      <w:pPr>
        <w:pStyle w:val="Heading2"/>
      </w:pPr>
      <w:r>
        <w:rPr>
          <w:rStyle w:val="SectionNumber"/>
        </w:rPr>
        <w:t xml:space="preserve">4.7</w:t>
      </w:r>
      <w:r>
        <w:tab/>
      </w:r>
      <w:r>
        <w:t xml:space="preserve">Настройка регистрирующих модулей</w:t>
      </w:r>
    </w:p>
    <w:p>
      <w:pPr>
        <w:pStyle w:val="FirstParagraph"/>
      </w:pPr>
      <w:r>
        <w:t xml:space="preserve">Для корректного отображения графиков устанавливаем параметры регистрирующих устройств. В частности, в блоке CSCOPE задаем значение</w:t>
      </w:r>
      <w:r>
        <w:t xml:space="preserve"> </w:t>
      </w:r>
      <w:r>
        <w:rPr>
          <w:rStyle w:val="VerbatimChar"/>
        </w:rPr>
        <w:t xml:space="preserve">refresh period</w:t>
      </w:r>
      <w:r>
        <w:t xml:space="preserve"> </w:t>
      </w:r>
      <w:r>
        <w:t xml:space="preserve">= 100, что позволяет отображать результаты моделирования за 100 секунд модельного времени (рис. 7, 8).</w:t>
      </w:r>
    </w:p>
    <w:bookmarkStart w:id="58" w:name="fig:007"/>
    <w:p>
      <w:pPr>
        <w:pStyle w:val="CaptionedFigure"/>
      </w:pPr>
      <w:r>
        <w:drawing>
          <wp:inline>
            <wp:extent cx="3733800" cy="3123923"/>
            <wp:effectExtent b="0" l="0" r="0" t="0"/>
            <wp:docPr descr="Рис. 7: Параметры CSCOPXY" title="" id="56" name="Picture"/>
            <a:graphic>
              <a:graphicData uri="http://schemas.openxmlformats.org/drawingml/2006/picture">
                <pic:pic>
                  <pic:nvPicPr>
                    <pic:cNvPr descr="image/7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3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Параметры CSCOPXY</w:t>
      </w:r>
    </w:p>
    <w:bookmarkEnd w:id="58"/>
    <w:bookmarkStart w:id="62" w:name="fig:008"/>
    <w:p>
      <w:pPr>
        <w:pStyle w:val="CaptionedFigure"/>
      </w:pPr>
      <w:r>
        <w:drawing>
          <wp:inline>
            <wp:extent cx="3733800" cy="2987040"/>
            <wp:effectExtent b="0" l="0" r="0" t="0"/>
            <wp:docPr descr="Рис. 8: Параметры CSCOPE" title="" id="60" name="Picture"/>
            <a:graphic>
              <a:graphicData uri="http://schemas.openxmlformats.org/drawingml/2006/picture">
                <pic:pic>
                  <pic:nvPicPr>
                    <pic:cNvPr descr="image/8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CSCOPE</w:t>
      </w:r>
    </w:p>
    <w:bookmarkEnd w:id="62"/>
    <w:bookmarkEnd w:id="63"/>
    <w:bookmarkStart w:id="68" w:name="сборка-схемы-модели-tcpaqm"/>
    <w:p>
      <w:pPr>
        <w:pStyle w:val="Heading2"/>
      </w:pPr>
      <w:r>
        <w:rPr>
          <w:rStyle w:val="SectionNumber"/>
        </w:rPr>
        <w:t xml:space="preserve">4.8</w:t>
      </w:r>
      <w:r>
        <w:tab/>
      </w:r>
      <w:r>
        <w:t xml:space="preserve">Сборка схемы модели TCP/AQM:</w:t>
      </w:r>
    </w:p>
    <w:p>
      <w:pPr>
        <w:pStyle w:val="FirstParagraph"/>
      </w:pPr>
      <w:r>
        <w:t xml:space="preserve">Реализуем модель TCP/AQM</w:t>
      </w:r>
      <w:r>
        <w:t xml:space="preserve"> </w:t>
      </w:r>
      <w:r>
        <w:t xml:space="preserve">[3]</w:t>
      </w:r>
      <w:r>
        <w:t xml:space="preserve">, подключив регистрирующие блоки CSCOPE для отображения графиков изменения TCP-окна и очереди, а также блок CSCOPXY для построения фазового портрета (рис. 9).</w:t>
      </w:r>
    </w:p>
    <w:bookmarkStart w:id="67" w:name="fig:009"/>
    <w:p>
      <w:pPr>
        <w:pStyle w:val="CaptionedFigure"/>
      </w:pPr>
      <w:r>
        <w:drawing>
          <wp:inline>
            <wp:extent cx="3733800" cy="1756618"/>
            <wp:effectExtent b="0" l="0" r="0" t="0"/>
            <wp:docPr descr="Рис. 9: Модель TCP/AQM в xcos" title="" id="65" name="Picture"/>
            <a:graphic>
              <a:graphicData uri="http://schemas.openxmlformats.org/drawingml/2006/picture">
                <pic:pic>
                  <pic:nvPicPr>
                    <pic:cNvPr descr="image/9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TCP/AQM в xcos</w:t>
      </w:r>
    </w:p>
    <w:bookmarkEnd w:id="67"/>
    <w:bookmarkEnd w:id="68"/>
    <w:bookmarkStart w:id="77" w:name="графики-моделирования"/>
    <w:p>
      <w:pPr>
        <w:pStyle w:val="Heading2"/>
      </w:pPr>
      <w:r>
        <w:rPr>
          <w:rStyle w:val="SectionNumber"/>
        </w:rPr>
        <w:t xml:space="preserve">4.9</w:t>
      </w:r>
      <w:r>
        <w:tab/>
      </w:r>
      <w:r>
        <w:t xml:space="preserve">Графики моделирования</w:t>
      </w:r>
    </w:p>
    <w:p>
      <w:pPr>
        <w:pStyle w:val="FirstParagraph"/>
      </w:pPr>
      <w:r>
        <w:t xml:space="preserve">В результате получаем следующие графики:</w:t>
      </w:r>
      <w:r>
        <w:t xml:space="preserve"> </w:t>
      </w:r>
      <w:r>
        <w:t xml:space="preserve">- Динамика изменения размера TCP-окна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(отмечена зелёной линией) и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(чёрная линия) (рис. 10, 11)</w:t>
      </w:r>
    </w:p>
    <w:bookmarkStart w:id="72" w:name="fig:010"/>
    <w:p>
      <w:pPr>
        <w:pStyle w:val="CaptionedFigure"/>
      </w:pPr>
      <w:r>
        <w:drawing>
          <wp:inline>
            <wp:extent cx="3733800" cy="1860417"/>
            <wp:effectExtent b="0" l="0" r="0" t="0"/>
            <wp:docPr descr="Рис. 10: Динамика изменения размера TCP окна W(t) и размера очереди Q(t)" title="" id="70" name="Picture"/>
            <a:graphic>
              <a:graphicData uri="http://schemas.openxmlformats.org/drawingml/2006/picture">
                <pic:pic>
                  <pic:nvPicPr>
                    <pic:cNvPr descr="image/1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0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Динамика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</w:p>
    <w:bookmarkEnd w:id="72"/>
    <w:bookmarkStart w:id="76" w:name="fig:011"/>
    <w:p>
      <w:pPr>
        <w:pStyle w:val="CaptionedFigure"/>
      </w:pPr>
      <w:r>
        <w:drawing>
          <wp:inline>
            <wp:extent cx="3733800" cy="1797264"/>
            <wp:effectExtent b="0" l="0" r="0" t="0"/>
            <wp:docPr descr="Рис. 11: Фазовый портрет (W, Q)" title="" id="74" name="Picture"/>
            <a:graphic>
              <a:graphicData uri="http://schemas.openxmlformats.org/drawingml/2006/picture">
                <pic:pic>
                  <pic:nvPicPr>
                    <pic:cNvPr descr="image/1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7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Фазовый портрет</w:t>
      </w:r>
      <w:r>
        <w:t xml:space="preserve"> </w:t>
      </w:r>
      <m:oMath>
        <m:d>
          <m:dPr>
            <m:begChr m:val="("/>
            <m:sepChr m:val=""/>
            <m:endChr m:val=")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Q</m:t>
            </m:r>
          </m:e>
        </m:d>
      </m:oMath>
    </w:p>
    <w:bookmarkEnd w:id="76"/>
    <w:bookmarkEnd w:id="77"/>
    <w:bookmarkStart w:id="90" w:name="влияние-изменения-параметров"/>
    <w:p>
      <w:pPr>
        <w:pStyle w:val="Heading2"/>
      </w:pPr>
      <w:r>
        <w:rPr>
          <w:rStyle w:val="SectionNumber"/>
        </w:rPr>
        <w:t xml:space="preserve">4.10</w:t>
      </w:r>
      <w:r>
        <w:tab/>
      </w:r>
      <w:r>
        <w:t xml:space="preserve">Влияние изменения параметров</w:t>
      </w:r>
    </w:p>
    <w:p>
      <w:pPr>
        <w:pStyle w:val="FirstParagraph"/>
      </w:pPr>
      <w:r>
        <w:t xml:space="preserve">При уменьшении значения скорости обработки пакетов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до 0.9 наблюдаются более выраженные автоколебания, что видно по графикам:</w:t>
      </w:r>
    </w:p>
    <w:p>
      <w:pPr>
        <w:pStyle w:val="Compact"/>
        <w:numPr>
          <w:ilvl w:val="0"/>
          <w:numId w:val="1002"/>
        </w:numPr>
      </w:pPr>
      <w:r>
        <w:t xml:space="preserve">Динамика TCP-окна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при</w:t>
      </w:r>
      <w:r>
        <w:t xml:space="preserve"> </w:t>
      </w:r>
      <m:oMath>
        <m:r>
          <m:t>C</m:t>
        </m:r>
        <m:r>
          <m:rPr>
            <m:sty m:val="p"/>
          </m:rPr>
          <m:t>=</m:t>
        </m:r>
        <m:r>
          <m:t>0.9</m:t>
        </m:r>
      </m:oMath>
      <w:r>
        <w:t xml:space="preserve"> </w:t>
      </w:r>
      <w:r>
        <w:t xml:space="preserve">(рис. 12)</w:t>
      </w:r>
    </w:p>
    <w:p>
      <w:pPr>
        <w:pStyle w:val="Compact"/>
        <w:numPr>
          <w:ilvl w:val="0"/>
          <w:numId w:val="1002"/>
        </w:numPr>
      </w:pPr>
      <w:r>
        <w:t xml:space="preserve">Фазовый портрет системы при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= 0.9 (рис. 13)</w:t>
      </w:r>
    </w:p>
    <w:bookmarkStart w:id="81" w:name="fig:012"/>
    <w:p>
      <w:pPr>
        <w:pStyle w:val="CaptionedFigure"/>
      </w:pPr>
      <w:r>
        <w:drawing>
          <wp:inline>
            <wp:extent cx="3733800" cy="2044512"/>
            <wp:effectExtent b="0" l="0" r="0" t="0"/>
            <wp:docPr descr="Рис. 12: Переменные окружения, изменение" title="" id="79" name="Picture"/>
            <a:graphic>
              <a:graphicData uri="http://schemas.openxmlformats.org/drawingml/2006/picture">
                <pic:pic>
                  <pic:nvPicPr>
                    <pic:cNvPr descr="image/122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Переменные окружения, изменение</w:t>
      </w:r>
    </w:p>
    <w:bookmarkEnd w:id="81"/>
    <w:bookmarkStart w:id="85" w:name="fig:013"/>
    <w:p>
      <w:pPr>
        <w:pStyle w:val="CaptionedFigure"/>
      </w:pPr>
      <w:r>
        <w:drawing>
          <wp:inline>
            <wp:extent cx="3733800" cy="2032143"/>
            <wp:effectExtent b="0" l="0" r="0" t="0"/>
            <wp:docPr descr="Рис. 13: Динамика изменения размера TCP окна W(t) и размера очереди Q(t) при С = 0.9" title="" id="83" name="Picture"/>
            <a:graphic>
              <a:graphicData uri="http://schemas.openxmlformats.org/drawingml/2006/picture">
                <pic:pic>
                  <pic:nvPicPr>
                    <pic:cNvPr descr="image/13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2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Динамика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при С = 0.9</w:t>
      </w:r>
    </w:p>
    <w:bookmarkEnd w:id="85"/>
    <w:bookmarkStart w:id="89" w:name="fig:014"/>
    <w:p>
      <w:pPr>
        <w:pStyle w:val="CaptionedFigure"/>
      </w:pPr>
      <w:r>
        <w:drawing>
          <wp:inline>
            <wp:extent cx="3733800" cy="1967040"/>
            <wp:effectExtent b="0" l="0" r="0" t="0"/>
            <wp:docPr descr="Рис. 14: Фазовый портрет (W, Q) при С = 0.9" title="" id="87" name="Picture"/>
            <a:graphic>
              <a:graphicData uri="http://schemas.openxmlformats.org/drawingml/2006/picture">
                <pic:pic>
                  <pic:nvPicPr>
                    <pic:cNvPr descr="image/14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Фазовый портрет</w:t>
      </w:r>
      <w:r>
        <w:t xml:space="preserve"> </w:t>
      </w:r>
      <m:oMath>
        <m:d>
          <m:dPr>
            <m:begChr m:val="("/>
            <m:sepChr m:val=""/>
            <m:endChr m:val=")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Q</m:t>
            </m:r>
          </m:e>
        </m:d>
      </m:oMath>
      <w:r>
        <w:t xml:space="preserve"> </w:t>
      </w:r>
      <w:r>
        <w:t xml:space="preserve">при С = 0.9</w:t>
      </w:r>
    </w:p>
    <w:bookmarkEnd w:id="89"/>
    <w:bookmarkEnd w:id="90"/>
    <w:bookmarkStart w:id="91" w:name="реализация-модели-в-openmodelica"/>
    <w:p>
      <w:pPr>
        <w:pStyle w:val="Heading2"/>
      </w:pPr>
      <w:r>
        <w:rPr>
          <w:rStyle w:val="SectionNumber"/>
        </w:rPr>
        <w:t xml:space="preserve">4.11</w:t>
      </w:r>
      <w:r>
        <w:tab/>
      </w:r>
      <w:r>
        <w:t xml:space="preserve">Реализация модели в OpenModelica</w:t>
      </w:r>
    </w:p>
    <w:bookmarkEnd w:id="91"/>
    <w:bookmarkStart w:id="96" w:name="настройка-модели"/>
    <w:p>
      <w:pPr>
        <w:pStyle w:val="Heading2"/>
      </w:pPr>
      <w:r>
        <w:rPr>
          <w:rStyle w:val="SectionNumber"/>
        </w:rPr>
        <w:t xml:space="preserve">4.12</w:t>
      </w:r>
      <w:r>
        <w:tab/>
      </w:r>
      <w:r>
        <w:t xml:space="preserve">Настройка модели</w:t>
      </w:r>
    </w:p>
    <w:p>
      <w:pPr>
        <w:pStyle w:val="FirstParagraph"/>
      </w:pPr>
      <w:r>
        <w:t xml:space="preserve">Перейдем к реализации модели в OpenModelica</w:t>
      </w:r>
      <w:r>
        <w:t xml:space="preserve"> </w:t>
      </w:r>
      <w:r>
        <w:t xml:space="preserve">[4]</w:t>
      </w:r>
      <w:r>
        <w:t xml:space="preserve">. Зададим параметры, начальные значения и систему дифференциальных уравнений (рис. 15).</w:t>
      </w:r>
    </w:p>
    <w:bookmarkStart w:id="95" w:name="fig:015"/>
    <w:p>
      <w:pPr>
        <w:pStyle w:val="CaptionedFigure"/>
      </w:pPr>
      <w:r>
        <w:drawing>
          <wp:inline>
            <wp:extent cx="3733800" cy="2394351"/>
            <wp:effectExtent b="0" l="0" r="0" t="0"/>
            <wp:docPr descr="Рис. 15: Модель TCP/AQM в OpenModelica" title="" id="93" name="Picture"/>
            <a:graphic>
              <a:graphicData uri="http://schemas.openxmlformats.org/drawingml/2006/picture">
                <pic:pic>
                  <pic:nvPicPr>
                    <pic:cNvPr descr="image/1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Модель TCP/AQM в OpenModelica</w:t>
      </w:r>
    </w:p>
    <w:bookmarkEnd w:id="95"/>
    <w:bookmarkEnd w:id="96"/>
    <w:bookmarkStart w:id="101" w:name="параметры-симуляции"/>
    <w:p>
      <w:pPr>
        <w:pStyle w:val="Heading2"/>
      </w:pPr>
      <w:r>
        <w:rPr>
          <w:rStyle w:val="SectionNumber"/>
        </w:rPr>
        <w:t xml:space="preserve">4.13</w:t>
      </w:r>
      <w:r>
        <w:tab/>
      </w:r>
      <w:r>
        <w:t xml:space="preserve">Параметры симуляции</w:t>
      </w:r>
    </w:p>
    <w:p>
      <w:pPr>
        <w:pStyle w:val="FirstParagraph"/>
      </w:pPr>
      <w:r>
        <w:t xml:space="preserve">Устанавливаем время симуляции равным 100 единицам модельного времени (рис. 16).</w:t>
      </w:r>
    </w:p>
    <w:bookmarkStart w:id="100" w:name="fig:016"/>
    <w:p>
      <w:pPr>
        <w:pStyle w:val="CaptionedFigure"/>
      </w:pPr>
      <w:r>
        <w:drawing>
          <wp:inline>
            <wp:extent cx="3733800" cy="3133335"/>
            <wp:effectExtent b="0" l="0" r="0" t="0"/>
            <wp:docPr descr="Рис. 16: Установка симуляции OpenModelica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Установка симуляции OpenModelica</w:t>
      </w:r>
    </w:p>
    <w:bookmarkEnd w:id="100"/>
    <w:bookmarkEnd w:id="101"/>
    <w:bookmarkStart w:id="110" w:name="графики-результатов"/>
    <w:p>
      <w:pPr>
        <w:pStyle w:val="Heading2"/>
      </w:pPr>
      <w:r>
        <w:rPr>
          <w:rStyle w:val="SectionNumber"/>
        </w:rPr>
        <w:t xml:space="preserve">4.14</w:t>
      </w:r>
      <w:r>
        <w:tab/>
      </w:r>
      <w:r>
        <w:t xml:space="preserve">Графики результатов*</w:t>
      </w:r>
    </w:p>
    <w:p>
      <w:pPr>
        <w:pStyle w:val="FirstParagraph"/>
      </w:pPr>
      <w:r>
        <w:t xml:space="preserve">Полученные результаты демонстрируют:</w:t>
      </w:r>
      <w:r>
        <w:t xml:space="preserve"> </w:t>
      </w:r>
      <w:r>
        <w:t xml:space="preserve">- Динамику изменения размера TCP-окна</w:t>
      </w:r>
      <w:r>
        <w:t xml:space="preserve"> </w:t>
      </w:r>
      <w:r>
        <w:t xml:space="preserve">[2]</w:t>
      </w:r>
      <w:r>
        <w:t xml:space="preserve">.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(красная линия) и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(синяя линия) (рис. 17).</w:t>
      </w:r>
      <w:r>
        <w:t xml:space="preserve"> </w:t>
      </w:r>
      <w:r>
        <w:t xml:space="preserve">- Фазовый портрет, подтверждающий наличие автоколебаний, где фазовая траектория осциллирует вокруг стационарной точки (рис. 18).</w:t>
      </w:r>
    </w:p>
    <w:bookmarkStart w:id="105" w:name="fig:017"/>
    <w:p>
      <w:pPr>
        <w:pStyle w:val="CaptionedFigure"/>
      </w:pPr>
      <w:r>
        <w:drawing>
          <wp:inline>
            <wp:extent cx="3733800" cy="1496830"/>
            <wp:effectExtent b="0" l="0" r="0" t="0"/>
            <wp:docPr descr="Рис. 17: Динамика изменения размера TCP окна W(t) и размера очереди Q(t)" title="" id="103" name="Picture"/>
            <a:graphic>
              <a:graphicData uri="http://schemas.openxmlformats.org/drawingml/2006/picture">
                <pic:pic>
                  <pic:nvPicPr>
                    <pic:cNvPr descr="image/1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Динамика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</w:p>
    <w:bookmarkEnd w:id="105"/>
    <w:bookmarkStart w:id="109" w:name="fig:018"/>
    <w:p>
      <w:pPr>
        <w:pStyle w:val="CaptionedFigure"/>
      </w:pPr>
      <w:r>
        <w:drawing>
          <wp:inline>
            <wp:extent cx="3733800" cy="1496830"/>
            <wp:effectExtent b="0" l="0" r="0" t="0"/>
            <wp:docPr descr="Рис. 18: Фазовый портрет (W, Q)" title="" id="107" name="Picture"/>
            <a:graphic>
              <a:graphicData uri="http://schemas.openxmlformats.org/drawingml/2006/picture">
                <pic:pic>
                  <pic:nvPicPr>
                    <pic:cNvPr descr="image/17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6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Фазовый портрет</w:t>
      </w:r>
      <w:r>
        <w:t xml:space="preserve"> </w:t>
      </w:r>
      <m:oMath>
        <m:d>
          <m:dPr>
            <m:begChr m:val="("/>
            <m:sepChr m:val=""/>
            <m:endChr m:val=")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Q</m:t>
            </m:r>
          </m:e>
        </m:d>
      </m:oMath>
    </w:p>
    <w:bookmarkEnd w:id="109"/>
    <w:bookmarkEnd w:id="110"/>
    <w:bookmarkStart w:id="123" w:name="изменение-параметра-в-openmodelica"/>
    <w:p>
      <w:pPr>
        <w:pStyle w:val="Heading2"/>
      </w:pPr>
      <w:r>
        <w:rPr>
          <w:rStyle w:val="SectionNumber"/>
        </w:rPr>
        <w:t xml:space="preserve">4.15</w:t>
      </w:r>
      <w:r>
        <w:tab/>
      </w:r>
      <w:r>
        <w:t xml:space="preserve">Изменение параметра в OpenModelica</w:t>
      </w:r>
    </w:p>
    <w:p>
      <w:pPr>
        <w:pStyle w:val="FirstParagraph"/>
      </w:pPr>
      <w:r>
        <w:t xml:space="preserve">Изменяем скорость обработки пакетов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до 0.9</w:t>
      </w:r>
      <w:r>
        <w:t xml:space="preserve"> </w:t>
      </w:r>
      <w:r>
        <w:t xml:space="preserve">Результаты показывают, что автоколебания стали более выраженными, что видно по графикам:</w:t>
      </w:r>
      <w:r>
        <w:t xml:space="preserve"> </w:t>
      </w:r>
      <w:r>
        <w:t xml:space="preserve">- Динамика TCP-окна и очереди при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= 0.9 (рис. 19).</w:t>
      </w:r>
      <w:r>
        <w:t xml:space="preserve"> </w:t>
      </w:r>
      <w:r>
        <w:t xml:space="preserve">- Фазовый портрет при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= 0.9 (рис. 20).</w:t>
      </w:r>
    </w:p>
    <w:bookmarkStart w:id="114" w:name="fig:019"/>
    <w:p>
      <w:pPr>
        <w:pStyle w:val="CaptionedFigure"/>
      </w:pPr>
      <w:r>
        <w:drawing>
          <wp:inline>
            <wp:extent cx="3733800" cy="2649120"/>
            <wp:effectExtent b="0" l="0" r="0" t="0"/>
            <wp:docPr descr="Рис. 19: Изменение параметра C" title="" id="112" name="Picture"/>
            <a:graphic>
              <a:graphicData uri="http://schemas.openxmlformats.org/drawingml/2006/picture">
                <pic:pic>
                  <pic:nvPicPr>
                    <pic:cNvPr descr="image/1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9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Изменение параметра C</w:t>
      </w:r>
    </w:p>
    <w:bookmarkEnd w:id="114"/>
    <w:p>
      <w:pPr>
        <w:pStyle w:val="BodyText"/>
      </w:pPr>
      <w:r>
        <w:t xml:space="preserve">Точно так же увидим, что автоколебания стали более выраженными (рис. 20, 21).</w:t>
      </w:r>
    </w:p>
    <w:bookmarkStart w:id="118" w:name="fig:020"/>
    <w:p>
      <w:pPr>
        <w:pStyle w:val="CaptionedFigure"/>
      </w:pPr>
      <w:r>
        <w:drawing>
          <wp:inline>
            <wp:extent cx="3733800" cy="1527247"/>
            <wp:effectExtent b="0" l="0" r="0" t="0"/>
            <wp:docPr descr="Рис. 20: Динамика изменения размера TCP окна W(t) и размера очереди Q(t) при С = 0.9" title="" id="116" name="Picture"/>
            <a:graphic>
              <a:graphicData uri="http://schemas.openxmlformats.org/drawingml/2006/picture">
                <pic:pic>
                  <pic:nvPicPr>
                    <pic:cNvPr descr="image/20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Динамика изменения размера TCP окна</w:t>
      </w:r>
      <w:r>
        <w:t xml:space="preserve"> </w:t>
      </w:r>
      <m:oMath>
        <m:r>
          <m:t>W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и размера очереди</w:t>
      </w:r>
      <w:r>
        <w:t xml:space="preserve"> </w:t>
      </w:r>
      <m:oMath>
        <m:r>
          <m:t>Q</m:t>
        </m:r>
        <m:d>
          <m:dPr>
            <m:begChr m:val="("/>
            <m:sepChr m:val="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при С = 0.9</w:t>
      </w:r>
    </w:p>
    <w:bookmarkEnd w:id="118"/>
    <w:bookmarkStart w:id="122" w:name="fig:021"/>
    <w:p>
      <w:pPr>
        <w:pStyle w:val="CaptionedFigure"/>
      </w:pPr>
      <w:r>
        <w:drawing>
          <wp:inline>
            <wp:extent cx="3733800" cy="1527247"/>
            <wp:effectExtent b="0" l="0" r="0" t="0"/>
            <wp:docPr descr="Рис. 21: Фазовый портрет (W, Q) при С = 0.9" title="" id="120" name="Picture"/>
            <a:graphic>
              <a:graphicData uri="http://schemas.openxmlformats.org/drawingml/2006/picture">
                <pic:pic>
                  <pic:nvPicPr>
                    <pic:cNvPr descr="image/21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Фазовый портрет</w:t>
      </w:r>
      <w:r>
        <w:t xml:space="preserve"> </w:t>
      </w:r>
      <m:oMath>
        <m:d>
          <m:dPr>
            <m:begChr m:val="("/>
            <m:sepChr m:val=""/>
            <m:endChr m:val=")"/>
            <m:grow/>
          </m:dPr>
          <m:e>
            <m:r>
              <m:t>W</m:t>
            </m:r>
            <m:r>
              <m:rPr>
                <m:sty m:val="p"/>
              </m:rPr>
              <m:t>,</m:t>
            </m:r>
            <m:r>
              <m:t>Q</m:t>
            </m:r>
          </m:e>
        </m:d>
      </m:oMath>
      <w:r>
        <w:t xml:space="preserve"> </w:t>
      </w:r>
      <w:r>
        <w:t xml:space="preserve">при С = 0.9</w:t>
      </w:r>
    </w:p>
    <w:bookmarkEnd w:id="122"/>
    <w:bookmarkEnd w:id="123"/>
    <w:bookmarkEnd w:id="124"/>
    <w:bookmarkStart w:id="12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В результате выполнения лабораторной работы была успешно разработана и реализована модель TCP/AQM с использованием инструментов xcos и OpenModelica. Анализ графиков показал наличие автоколебаний в системе, которые усиливаются при уменьшении скорости обработки пакетов</w:t>
      </w:r>
      <w:r>
        <w:t xml:space="preserve"> </w:t>
      </w:r>
      <m:oMath>
        <m:r>
          <m:t>C</m:t>
        </m:r>
      </m:oMath>
    </w:p>
    <w:bookmarkEnd w:id="125"/>
    <w:bookmarkStart w:id="131" w:name="список-литературы"/>
    <w:p>
      <w:pPr>
        <w:pStyle w:val="Heading1"/>
      </w:pPr>
      <w:r>
        <w:t xml:space="preserve">Список литературы</w:t>
      </w:r>
    </w:p>
    <w:bookmarkStart w:id="130" w:name="refs"/>
    <w:bookmarkStart w:id="126" w:name="ref-xcos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Королькова А.В., Кулябов Д.С. Компонентное моделирование. Scilab, подсистема xcos [Электронный ресурс].</w:t>
      </w:r>
    </w:p>
    <w:bookmarkEnd w:id="126"/>
    <w:bookmarkStart w:id="127" w:name="ref-l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Королькова А.В., Кулябов Д.С. Лабораторная работа 8. Модель TCP/AQM [Электронный ресурс].</w:t>
      </w:r>
    </w:p>
    <w:bookmarkEnd w:id="127"/>
    <w:bookmarkStart w:id="128" w:name="ref-tcp:control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Hollot C.V. и др. A Control Theoretic Analysis of RED // Proceedings IEEE INFOCOM. 2001. С. 1510–1519.</w:t>
      </w:r>
    </w:p>
    <w:bookmarkEnd w:id="128"/>
    <w:bookmarkStart w:id="129" w:name="ref-modelica:guide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Fritzson P. Principles of Object-Oriented Modeling and Simulation with Modelica 3.3: A Cyber-Physical Approach. Wiley, 2014.</w:t>
      </w:r>
    </w:p>
    <w:bookmarkEnd w:id="129"/>
    <w:bookmarkEnd w:id="130"/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2" Target="media/rId92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97" Target="media/rId97.png" /><Relationship Type="http://schemas.openxmlformats.org/officeDocument/2006/relationships/image" Id="rId111" Target="media/rId111.png" /><Relationship Type="http://schemas.openxmlformats.org/officeDocument/2006/relationships/image" Id="rId31" Target="media/rId3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Изучение модели TCP/AQM в сетевых системах</dc:title>
  <dc:creator>Мугари Абдеррахим</dc:creator>
  <dc:language>ru-RU</dc:language>
  <cp:keywords/>
  <dcterms:created xsi:type="dcterms:W3CDTF">2025-03-29T19:28:37Z</dcterms:created>
  <dcterms:modified xsi:type="dcterms:W3CDTF">2025-03-29T19:28:37Z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Анализ управления очередями в TCP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Изучение модели TCP/AQM в сетевых системах</vt:lpwstr>
  </property>
</Properties>
</file>