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9</w:t>
      </w:r>
    </w:p>
    <w:p>
      <w:pPr>
        <w:pStyle w:val="Subtitle"/>
      </w:pPr>
      <w:r>
        <w:t xml:space="preserve">Модель «Накорми студентов»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разработать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с применением среды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Смоделировать в CPN Tools процесс</w:t>
      </w:r>
      <w:r>
        <w:t xml:space="preserve"> </w:t>
      </w:r>
      <w:r>
        <w:t xml:space="preserve">“Накормить студентов”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 модели, подготовить соответствующий отчет и визуализировать граф.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это специализированная программа для моделирования иерархических временных раскрашенных сетей Петри. Эти сети обладают вычислительной мощностью, эквивалентной машине Тьюринга, и представляют собой универсальную алгоритмическую систему, позволяющую описывать любые процессы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 помощью CPN Tools можно визуализировать модель через граф сети Петри, а также использовать язык программирования CPN ML (Colored Petri Net Markup Language) для формального описания логики модели.</w:t>
      </w:r>
    </w:p>
    <w:p>
      <w:pPr>
        <w:pStyle w:val="BodyText"/>
      </w:pPr>
      <w:r>
        <w:t xml:space="preserve">Основные возможности CPN Tools:</w:t>
      </w:r>
    </w:p>
    <w:p>
      <w:pPr>
        <w:numPr>
          <w:ilvl w:val="0"/>
          <w:numId w:val="1002"/>
        </w:numPr>
      </w:pPr>
      <w:r>
        <w:t xml:space="preserve">проектирование сложных моделей и моделирование процессов в различных прикладных сферах, включая:</w:t>
      </w:r>
    </w:p>
    <w:p>
      <w:pPr>
        <w:numPr>
          <w:ilvl w:val="0"/>
          <w:numId w:val="1002"/>
        </w:numPr>
      </w:pPr>
      <w:r>
        <w:t xml:space="preserve">моделирование производственных процессов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производством и робототехникой;</w:t>
      </w:r>
    </w:p>
    <w:p>
      <w:pPr>
        <w:numPr>
          <w:ilvl w:val="0"/>
          <w:numId w:val="1002"/>
        </w:numPr>
      </w:pPr>
      <w:r>
        <w:t xml:space="preserve">спецификация и верификация сетевых протоколов, анализ пропускной способности и качества обслуживания, проектирование телекоммуникационных сетей и устройств.</w:t>
      </w:r>
    </w:p>
    <w:p>
      <w:pPr>
        <w:pStyle w:val="FirstParagraph"/>
      </w:pPr>
      <w:r>
        <w:t xml:space="preserve">Функциональные возможности CPN Tools:</w:t>
      </w:r>
    </w:p>
    <w:p>
      <w:pPr>
        <w:numPr>
          <w:ilvl w:val="0"/>
          <w:numId w:val="1003"/>
        </w:numPr>
      </w:pPr>
      <w:r>
        <w:t xml:space="preserve">создание и редактирование моделей;</w:t>
      </w:r>
    </w:p>
    <w:p>
      <w:pPr>
        <w:numPr>
          <w:ilvl w:val="0"/>
          <w:numId w:val="1003"/>
        </w:numPr>
      </w:pPr>
      <w:r>
        <w:t xml:space="preserve">симуляция динамики сети для анализа поведения модели;</w:t>
      </w:r>
    </w:p>
    <w:p>
      <w:pPr>
        <w:numPr>
          <w:ilvl w:val="0"/>
          <w:numId w:val="1003"/>
        </w:numPr>
      </w:pPr>
      <w:r>
        <w:t xml:space="preserve">формирование и анализ пространства состояний модели.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1" w:name="X6c9621f375788b8dfcb4e79c60b0ae69acbeb3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в CPN Tools</w:t>
      </w:r>
    </w:p>
    <w:p>
      <w:pPr>
        <w:pStyle w:val="FirstParagraph"/>
      </w:pPr>
      <w:r>
        <w:t xml:space="preserve">Рассмотрим простой пример: студенты обедают пирогами. Голодный студент становится сытым после употребления одного пирога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Модель состоит из следующих элементов:</w:t>
      </w:r>
    </w:p>
    <w:p>
      <w:pPr>
        <w:numPr>
          <w:ilvl w:val="0"/>
          <w:numId w:val="1004"/>
        </w:numPr>
      </w:pPr>
      <w:r>
        <w:t xml:space="preserve">два типа фишек:</w:t>
      </w:r>
      <w:r>
        <w:t xml:space="preserve"> </w:t>
      </w:r>
      <w:r>
        <w:t xml:space="preserve">“пироги”</w:t>
      </w:r>
      <w:r>
        <w:t xml:space="preserve"> </w:t>
      </w:r>
      <w:r>
        <w:t xml:space="preserve">и</w:t>
      </w:r>
      <w:r>
        <w:t xml:space="preserve"> </w:t>
      </w:r>
      <w:r>
        <w:t xml:space="preserve">“студенты”</w:t>
      </w:r>
      <w:r>
        <w:t xml:space="preserve">;</w:t>
      </w:r>
    </w:p>
    <w:p>
      <w:pPr>
        <w:numPr>
          <w:ilvl w:val="0"/>
          <w:numId w:val="1004"/>
        </w:numPr>
      </w:pPr>
      <w:r>
        <w:t xml:space="preserve">три позиции:</w:t>
      </w:r>
      <w:r>
        <w:t xml:space="preserve"> </w:t>
      </w:r>
      <w:r>
        <w:t xml:space="preserve">“голодный студент”</w:t>
      </w:r>
      <w:r>
        <w:t xml:space="preserve">,</w:t>
      </w:r>
      <w:r>
        <w:t xml:space="preserve"> </w:t>
      </w:r>
      <w:r>
        <w:t xml:space="preserve">“пирожки”</w:t>
      </w:r>
      <w:r>
        <w:t xml:space="preserve">,</w:t>
      </w:r>
      <w:r>
        <w:t xml:space="preserve"> </w:t>
      </w:r>
      <w:r>
        <w:t xml:space="preserve">“сытый студент”</w:t>
      </w:r>
      <w:r>
        <w:t xml:space="preserve">;</w:t>
      </w:r>
    </w:p>
    <w:p>
      <w:pPr>
        <w:numPr>
          <w:ilvl w:val="0"/>
          <w:numId w:val="1004"/>
        </w:numPr>
      </w:pPr>
      <w:r>
        <w:t xml:space="preserve">один переход:</w:t>
      </w:r>
      <w:r>
        <w:t xml:space="preserve"> </w:t>
      </w:r>
      <w:r>
        <w:t xml:space="preserve">“съесть пирожок”</w:t>
      </w:r>
      <w:r>
        <w:t xml:space="preserve">.</w:t>
      </w:r>
    </w:p>
    <w:p>
      <w:pPr>
        <w:pStyle w:val="FirstParagraph"/>
      </w:pPr>
      <w:r>
        <w:t xml:space="preserve">Для начала создаем граф сети. В контекстном меню выбираем создание новой сети, добавляем позиции, переход и дуги (рис. 1).</w:t>
      </w:r>
    </w:p>
    <w:bookmarkStart w:id="25" w:name="fig:001"/>
    <w:p>
      <w:pPr>
        <w:pStyle w:val="CaptionedFigure"/>
      </w:pPr>
      <w:r>
        <w:drawing>
          <wp:inline>
            <wp:extent cx="3733800" cy="3146395"/>
            <wp:effectExtent b="0" l="0" r="0" t="0"/>
            <wp:docPr descr="Рис. 1: Граф сети модели «Накорми студентов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модели «Накорми студентов»</w:t>
      </w:r>
    </w:p>
    <w:bookmarkEnd w:id="25"/>
    <w:p>
      <w:pPr>
        <w:pStyle w:val="BodyText"/>
      </w:pPr>
      <w:r>
        <w:t xml:space="preserve">Затем задаем декларации модели: определяем типы фишек, начальные значения мест и выражения дуг. Это делается через пункт Standart declarations, вызвав контекстное меню и выбрав New Decl (рис. 2).</w:t>
      </w:r>
    </w:p>
    <w:bookmarkStart w:id="29" w:name="fig:002"/>
    <w:p>
      <w:pPr>
        <w:pStyle w:val="CaptionedFigure"/>
      </w:pPr>
      <w:r>
        <w:drawing>
          <wp:inline>
            <wp:extent cx="3733800" cy="3099945"/>
            <wp:effectExtent b="0" l="0" r="0" t="0"/>
            <wp:docPr descr="Рис. 2: Декларации модели «Накорми студентов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 модели «Накорми студентов»</w:t>
      </w:r>
    </w:p>
    <w:bookmarkEnd w:id="29"/>
    <w:p>
      <w:pPr>
        <w:pStyle w:val="BodyText"/>
      </w:pPr>
      <w:r>
        <w:t xml:space="preserve">Назначаем тип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для студентов и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для пирогов, вводим переменные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для дуг, а также определяем начальные мультимножества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рабочую модель (рис. 3).</w:t>
      </w:r>
    </w:p>
    <w:bookmarkStart w:id="33" w:name="fig:003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3: Модель «Накорми студентов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«Накорми студентов»</w:t>
      </w:r>
    </w:p>
    <w:bookmarkEnd w:id="33"/>
    <w:p>
      <w:pPr>
        <w:pStyle w:val="BodyText"/>
      </w:pPr>
      <w:r>
        <w:t xml:space="preserve">Для симуляции используем блок инструментов simulation (рис. 4).</w:t>
      </w:r>
    </w:p>
    <w:bookmarkStart w:id="37" w:name="fig:004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4: Блок инструментов simulation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Блок инструментов simulation</w:t>
      </w:r>
    </w:p>
    <w:bookmarkEnd w:id="37"/>
    <w:p>
      <w:pPr>
        <w:pStyle w:val="BodyText"/>
      </w:pPr>
      <w:r>
        <w:t xml:space="preserve">После запуска пирожки и голодные студенты проходят через переход</w:t>
      </w:r>
      <w:r>
        <w:t xml:space="preserve"> </w:t>
      </w:r>
      <w:r>
        <w:t xml:space="preserve">“кушать”</w:t>
      </w:r>
      <w:r>
        <w:t xml:space="preserve"> </w:t>
      </w:r>
      <w:r>
        <w:t xml:space="preserve">и перемещаются в позицию</w:t>
      </w:r>
      <w:r>
        <w:t xml:space="preserve"> </w:t>
      </w:r>
      <w:r>
        <w:t xml:space="preserve">“сытый студент”</w:t>
      </w:r>
      <w:r>
        <w:t xml:space="preserve">, трансформируясь в фишки типа</w:t>
      </w:r>
      <w:r>
        <w:t xml:space="preserve"> </w:t>
      </w:r>
      <w:r>
        <w:t xml:space="preserve">“студенты”</w:t>
      </w:r>
      <w:r>
        <w:t xml:space="preserve"> </w:t>
      </w:r>
      <w:r>
        <w:t xml:space="preserve">(рис. 5).</w:t>
      </w:r>
    </w:p>
    <w:bookmarkStart w:id="40" w:name="fig:005"/>
    <w:p>
      <w:pPr>
        <w:pStyle w:val="CaptionedFigure"/>
      </w:pPr>
      <w:r>
        <w:drawing>
          <wp:inline>
            <wp:extent cx="3733800" cy="2987040"/>
            <wp:effectExtent b="0" l="0" r="0" t="0"/>
            <wp:docPr descr="Рис. 5: Запуск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 «Накорми студентов»</w:t>
      </w:r>
    </w:p>
    <w:bookmarkEnd w:id="40"/>
    <w:bookmarkEnd w:id="41"/>
    <w:bookmarkStart w:id="46" w:name="упражн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Чтобы построить граф состояний, переходим в режим работы с пространством состояний и используем инструмент</w:t>
      </w:r>
      <w:r>
        <w:t xml:space="preserve"> </w:t>
      </w:r>
      <w:r>
        <w:rPr>
          <w:rStyle w:val="VerbatimChar"/>
        </w:rPr>
        <w:t xml:space="preserve">Calculate State Space</w:t>
      </w:r>
      <w:r>
        <w:t xml:space="preserve">, затем визуализируем граф с помощью</w:t>
      </w:r>
      <w:r>
        <w:t xml:space="preserve"> </w:t>
      </w:r>
      <w:r>
        <w:rPr>
          <w:rStyle w:val="VerbatimChar"/>
        </w:rPr>
        <w:t xml:space="preserve">Calculate State Space Graph</w:t>
      </w:r>
      <w:r>
        <w:t xml:space="preserve">. Нажимая на розовые</w:t>
      </w:r>
      <w:r>
        <w:t xml:space="preserve"> </w:t>
      </w:r>
      <w:r>
        <w:t xml:space="preserve">“кармашки”</w:t>
      </w:r>
      <w:r>
        <w:t xml:space="preserve"> </w:t>
      </w:r>
      <w:r>
        <w:t xml:space="preserve">узлов графа, можно получить описание каждого состояния (рис. 6).</w:t>
      </w:r>
    </w:p>
    <w:bookmarkStart w:id="45" w:name="fig:006"/>
    <w:p>
      <w:pPr>
        <w:pStyle w:val="CaptionedFigure"/>
      </w:pPr>
      <w:r>
        <w:drawing>
          <wp:inline>
            <wp:extent cx="3733800" cy="2395505"/>
            <wp:effectExtent b="0" l="0" r="0" t="0"/>
            <wp:docPr descr="Рис. 6: Пространство состояний для модели «Накорми студентов»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Пространство состояний для модели «Накорми студентов»</w:t>
      </w:r>
    </w:p>
    <w:bookmarkEnd w:id="45"/>
    <w:p>
      <w:pPr>
        <w:pStyle w:val="BodyText"/>
      </w:pPr>
      <w:r>
        <w:t xml:space="preserve">Вычислим пространство состояний. Перед расчетом необходимо войти в пространство состояний, что приведет к генерации соответствующего кода. После этого можно использовать инструмент</w:t>
      </w:r>
      <w:r>
        <w:t xml:space="preserve"> </w:t>
      </w:r>
      <w:r>
        <w:t xml:space="preserve">“Вычислить пространство состояний”</w:t>
      </w:r>
      <w:r>
        <w:t xml:space="preserve">, если предполагается, что размер пространства небольшой. Далее сохраняем отчет с помощью инструмента</w:t>
      </w:r>
      <w:r>
        <w:t xml:space="preserve"> </w:t>
      </w:r>
      <w:r>
        <w:t xml:space="preserve">“Сохранить отчет о пространстве состояний”</w:t>
      </w:r>
      <w:r>
        <w:t xml:space="preserve">, указав имя выходного файла.</w:t>
      </w:r>
    </w:p>
    <w:p>
      <w:pPr>
        <w:pStyle w:val="BodyText"/>
      </w:pPr>
      <w:r>
        <w:t xml:space="preserve">Из отчета можно узнать следующее:</w:t>
      </w:r>
    </w:p>
    <w:p>
      <w:pPr>
        <w:numPr>
          <w:ilvl w:val="0"/>
          <w:numId w:val="1005"/>
        </w:numPr>
      </w:pPr>
      <w:r>
        <w:t xml:space="preserve">Граф включает 4 состояния и 3 перехода (узла и дуги соответственно).</w:t>
      </w:r>
    </w:p>
    <w:p>
      <w:pPr>
        <w:numPr>
          <w:ilvl w:val="0"/>
          <w:numId w:val="1005"/>
        </w:numPr>
      </w:pPr>
      <w:r>
        <w:t xml:space="preserve">Указаны диапазоны значений для каждой позиции: голодные студенты (от 0 до 3), сытые студенты (от 0 до 3), еда (от 2 до 5; минимальное значение 2, так как пирожки остаются в конце симуляции).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/home/openmodelica/lab9.cpn</w:t>
      </w:r>
      <w:r>
        <w:br/>
      </w:r>
      <w:r>
        <w:rPr>
          <w:rStyle w:val="VerbatimChar"/>
        </w:rPr>
        <w:t xml:space="preserve">Report generated: Sat Apr  5 23:07:20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New_Page'food 1         5          2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New_Page'student 1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New_Page'food 1     5`food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New_Page'student 1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New_Page'food 1     2`food</w:t>
      </w:r>
      <w:r>
        <w:br/>
      </w:r>
      <w:r>
        <w:rPr>
          <w:rStyle w:val="VerbatimChar"/>
        </w:rPr>
        <w:t xml:space="preserve">     New_Page'satisfied_student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New_Page'student 1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6"/>
        </w:numPr>
      </w:pPr>
      <w:r>
        <w:t xml:space="preserve">В ходе выполнения лабораторной работы была успешно реализована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с использованием среды CPN Tools.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9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9"/>
    <w:bookmarkStart w:id="50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9. Модель "Накорми студентов" [Электронный ресурс].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Мугари Абдеррахим</dc:creator>
  <dc:language>ru-RU</dc:language>
  <cp:keywords/>
  <dcterms:created xsi:type="dcterms:W3CDTF">2025-04-05T20:32:33Z</dcterms:created>
  <dcterms:modified xsi:type="dcterms:W3CDTF">2025-04-05T20:32:33Z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«Накорми студентов»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