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5.png" ContentType="image/png"/>
  <Override PartName="/word/media/rId63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6</w:t>
      </w:r>
    </w:p>
    <w:p>
      <w:pPr>
        <w:pStyle w:val="Subtitle"/>
      </w:pPr>
      <w:r>
        <w:t xml:space="preserve">Модель «хищник–жертва»</w:t>
      </w:r>
    </w:p>
    <w:p>
      <w:pPr>
        <w:pStyle w:val="Author"/>
      </w:pPr>
      <w:r>
        <w:t xml:space="preserve">Мугари 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задачей данной лабораторной работы является освоение и практическое воплощение модели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(известной как модель Лотки-Вольтерры) с применением программных средств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в среде xcos.</w:t>
      </w:r>
    </w:p>
    <w:p>
      <w:pPr>
        <w:pStyle w:val="Compact"/>
        <w:numPr>
          <w:ilvl w:val="0"/>
          <w:numId w:val="1001"/>
        </w:numPr>
      </w:pPr>
      <w:r>
        <w:t xml:space="preserve">Создать модель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с использованием блока Modelica в xcos.</w:t>
      </w:r>
    </w:p>
    <w:p>
      <w:pPr>
        <w:pStyle w:val="Compact"/>
        <w:numPr>
          <w:ilvl w:val="0"/>
          <w:numId w:val="1001"/>
        </w:numPr>
      </w:pPr>
      <w:r>
        <w:t xml:space="preserve">Выполнить моделирование системы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в OpenModelica.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Модель</w:t>
      </w:r>
      <w:r>
        <w:t xml:space="preserve"> </w:t>
      </w:r>
      <w:r>
        <w:t xml:space="preserve">“хищник-жертва”</w:t>
      </w:r>
      <w:r>
        <w:t xml:space="preserve">, или модель Лотки-Вольтерры, описывает динамику взаимодействия двух видов — жертв и хищников. Она выражается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r>
                      <m:t>x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c</m:t>
                    </m:r>
                    <m:r>
                      <m:t>x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d</m:t>
                    </m:r>
                    <m:r>
                      <m:t>y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где:</w:t>
      </w:r>
      <w:r>
        <w:t xml:space="preserve"> </w:t>
      </w:r>
      <w:r>
        <w:t xml:space="preserve">- (x) — численность популяции жертв;</w:t>
      </w:r>
      <w:r>
        <w:t xml:space="preserve"> </w:t>
      </w:r>
      <w:r>
        <w:t xml:space="preserve">- (y) — численность популяции хищников;</w:t>
      </w:r>
      <w:r>
        <w:t xml:space="preserve"> </w:t>
      </w:r>
      <w:r>
        <w:t xml:space="preserve">- (a) — показатель роста числа жертв;</w:t>
      </w:r>
      <w:r>
        <w:t xml:space="preserve"> </w:t>
      </w:r>
      <w:r>
        <w:t xml:space="preserve">- (b) — коэффициент сокращения жертв из-за хищников;</w:t>
      </w:r>
      <w:r>
        <w:t xml:space="preserve"> </w:t>
      </w:r>
      <w:r>
        <w:t xml:space="preserve">- (c) — коэффициент увеличения хищников благодаря жертвам;</w:t>
      </w:r>
      <w:r>
        <w:t xml:space="preserve"> </w:t>
      </w:r>
      <w:r>
        <w:t xml:space="preserve">- (d) — показатель естественного уменьшения хищников.</w:t>
      </w:r>
    </w:p>
    <w:bookmarkStart w:id="54" w:name="реализация-модели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Для моделирования приняты следующие параметры: (a = 2), (b = 1), (c = 0.3), (d = 1), а также начальные значения (x(0) = 2), (y(0) = 1).</w:t>
      </w:r>
    </w:p>
    <w:p>
      <w:pPr>
        <w:pStyle w:val="BodyText"/>
      </w:pPr>
      <w:r>
        <w:t xml:space="preserve">В xcos через меню</w:t>
      </w:r>
      <w:r>
        <w:t xml:space="preserve"> </w:t>
      </w:r>
      <w:r>
        <w:rPr>
          <w:i/>
          <w:iCs/>
        </w:rPr>
        <w:t xml:space="preserve">Моделирование → Задать переменные окружения</w:t>
      </w:r>
      <w:r>
        <w:t xml:space="preserve"> </w:t>
      </w:r>
      <w:r>
        <w:t xml:space="preserve">определены значения коэффициентов (a), (b), (c), (d) (см. рис. 1).</w:t>
      </w:r>
    </w:p>
    <w:bookmarkStart w:id="25" w:name="fig:001"/>
    <w:p>
      <w:pPr>
        <w:pStyle w:val="CaptionedFigure"/>
      </w:pPr>
      <w:r>
        <w:drawing>
          <wp:inline>
            <wp:extent cx="3733800" cy="2316556"/>
            <wp:effectExtent b="0" l="0" r="0" t="0"/>
            <wp:docPr descr="Рис. 1: Установка переменных окружения в xco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переменных окружения в xcos</w:t>
      </w:r>
    </w:p>
    <w:bookmarkEnd w:id="25"/>
    <w:p>
      <w:pPr>
        <w:pStyle w:val="BodyText"/>
      </w:pPr>
      <w:r>
        <w:t xml:space="preserve">Для создания модели применялись блоки: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,</w:t>
      </w:r>
      <w:r>
        <w:t xml:space="preserve"> </w:t>
      </w:r>
      <w:r>
        <w:rPr>
          <w:rStyle w:val="VerbatimChar"/>
        </w:rPr>
        <w:t xml:space="preserve">MUX</w:t>
      </w:r>
      <w:r>
        <w:t xml:space="preserve">,</w:t>
      </w:r>
      <w:r>
        <w:t xml:space="preserve"> </w:t>
      </w:r>
      <w:r>
        <w:rPr>
          <w:rStyle w:val="VerbatimChar"/>
        </w:rPr>
        <w:t xml:space="preserve">INTEGRAL_m</w:t>
      </w:r>
      <w:r>
        <w:t xml:space="preserve">,</w:t>
      </w:r>
      <w:r>
        <w:t xml:space="preserve"> </w:t>
      </w:r>
      <w:r>
        <w:rPr>
          <w:rStyle w:val="VerbatimChar"/>
        </w:rPr>
        <w:t xml:space="preserve">GAINBLK_f</w:t>
      </w:r>
      <w:r>
        <w:t xml:space="preserve">,</w:t>
      </w:r>
      <w:r>
        <w:t xml:space="preserve"> </w:t>
      </w:r>
      <w:r>
        <w:rPr>
          <w:rStyle w:val="VerbatimChar"/>
        </w:rPr>
        <w:t xml:space="preserve">SUMMATION</w:t>
      </w:r>
      <w:r>
        <w:t xml:space="preserve">,</w:t>
      </w:r>
      <w:r>
        <w:t xml:space="preserve"> </w:t>
      </w:r>
      <w:r>
        <w:rPr>
          <w:rStyle w:val="VerbatimChar"/>
        </w:rPr>
        <w:t xml:space="preserve">PROD_f</w:t>
      </w:r>
      <w:r>
        <w:t xml:space="preserve">, а также</w:t>
      </w:r>
      <w:r>
        <w:t xml:space="preserve"> </w:t>
      </w:r>
      <w:r>
        <w:rPr>
          <w:rStyle w:val="VerbatimChar"/>
        </w:rPr>
        <w:t xml:space="preserve">CSCOPXY</w:t>
      </w:r>
      <w:r>
        <w:t xml:space="preserve"> </w:t>
      </w:r>
      <w:r>
        <w:t xml:space="preserve">для построения фазового портрета. Итоговая схема модели представлена на рис. 2.</w:t>
      </w:r>
    </w:p>
    <w:bookmarkStart w:id="29" w:name="fig:002"/>
    <w:p>
      <w:pPr>
        <w:pStyle w:val="CaptionedFigure"/>
      </w:pPr>
      <w:r>
        <w:drawing>
          <wp:inline>
            <wp:extent cx="3733800" cy="2534074"/>
            <wp:effectExtent b="0" l="0" r="0" t="0"/>
            <wp:docPr descr="Рис. 2: Схема модели “хищник-жертва” в xco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модели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в xcos</w:t>
      </w:r>
    </w:p>
    <w:bookmarkEnd w:id="29"/>
    <w:p>
      <w:pPr>
        <w:pStyle w:val="BodyText"/>
      </w:pPr>
      <w:r>
        <w:t xml:space="preserve">Начальные условия (x(0) = 2) и (y(0) = 1) установлены в блоках интегрирования (см. рис. 3, 4).</w:t>
      </w:r>
    </w:p>
    <w:bookmarkStart w:id="33" w:name="fig:003"/>
    <w:p>
      <w:pPr>
        <w:pStyle w:val="CaptionedFigure"/>
      </w:pPr>
      <w:r>
        <w:drawing>
          <wp:inline>
            <wp:extent cx="3733800" cy="2431503"/>
            <wp:effectExtent b="0" l="0" r="0" t="0"/>
            <wp:docPr descr="Рис. 3: Установка начальных условий в блоках интегрирован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начальных условий в блоках интегрирования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024913"/>
            <wp:effectExtent b="0" l="0" r="0" t="0"/>
            <wp:docPr descr="Рис. 4: Настройка параметров симуляци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параметров симуляции</w:t>
      </w:r>
    </w:p>
    <w:bookmarkEnd w:id="37"/>
    <w:p>
      <w:pPr>
        <w:pStyle w:val="BodyText"/>
      </w:pPr>
      <w:r>
        <w:t xml:space="preserve">Через меню</w:t>
      </w:r>
      <w:r>
        <w:t xml:space="preserve"> </w:t>
      </w:r>
      <w:r>
        <w:rPr>
          <w:i/>
          <w:iCs/>
        </w:rPr>
        <w:t xml:space="preserve">Моделирование → Установка</w:t>
      </w:r>
      <w:r>
        <w:t xml:space="preserve"> </w:t>
      </w:r>
      <w:r>
        <w:t xml:space="preserve">задано время симуляции — 30 секунд.</w:t>
      </w:r>
    </w:p>
    <w:p>
      <w:pPr>
        <w:pStyle w:val="BodyText"/>
      </w:pPr>
      <w:r>
        <w:rPr>
          <w:b/>
          <w:bCs/>
        </w:rPr>
        <w:t xml:space="preserve">Настройка осей графиков</w:t>
      </w:r>
    </w:p>
    <w:p>
      <w:pPr>
        <w:pStyle w:val="BodyText"/>
      </w:pPr>
      <w:r>
        <w:t xml:space="preserve">Для наглядного отображения результатов симуляции настроены оси графиков в блоках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 </w:t>
      </w:r>
      <w:r>
        <w:t xml:space="preserve">(временные графики) и</w:t>
      </w:r>
      <w:r>
        <w:t xml:space="preserve"> </w:t>
      </w:r>
      <w:r>
        <w:rPr>
          <w:rStyle w:val="VerbatimChar"/>
        </w:rPr>
        <w:t xml:space="preserve">CSCOPXY</w:t>
      </w:r>
      <w:r>
        <w:t xml:space="preserve"> </w:t>
      </w:r>
      <w:r>
        <w:t xml:space="preserve">(фазовый портрет):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Временные графики (</w:t>
      </w:r>
      <w:r>
        <w:rPr>
          <w:rStyle w:val="VerbatimChar"/>
          <w:b/>
          <w:bCs/>
        </w:rPr>
        <w:t xml:space="preserve">CSCOPE</w:t>
      </w:r>
      <w:r>
        <w:rPr>
          <w:b/>
          <w:bCs/>
        </w:rPr>
        <w:t xml:space="preserve">)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Ось Y (численность популяций) настроена в диапазоне от 0 до 10 для отображения колебаний (см. рис. 5).</w:t>
      </w:r>
    </w:p>
    <w:bookmarkStart w:id="41" w:name="fig:005"/>
    <w:p>
      <w:pPr>
        <w:pStyle w:val="CaptionedFigure"/>
      </w:pPr>
      <w:r>
        <w:drawing>
          <wp:inline>
            <wp:extent cx="3733800" cy="3556000"/>
            <wp:effectExtent b="0" l="0" r="0" t="0"/>
            <wp:docPr descr="Рис. 5: Настройка осей для временных графиков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осей для временных графиков</w:t>
      </w:r>
    </w:p>
    <w:bookmarkEnd w:id="41"/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Фазовый портрет (</w:t>
      </w:r>
      <w:r>
        <w:rPr>
          <w:rStyle w:val="VerbatimChar"/>
          <w:b/>
          <w:bCs/>
        </w:rPr>
        <w:t xml:space="preserve">CSCOPXY</w:t>
      </w:r>
      <w:r>
        <w:rPr>
          <w:b/>
          <w:bCs/>
        </w:rPr>
        <w:t xml:space="preserve">)</w:t>
      </w:r>
      <w:r>
        <w:t xml:space="preserve">:</w:t>
      </w:r>
    </w:p>
    <w:p>
      <w:pPr>
        <w:pStyle w:val="Compact"/>
        <w:numPr>
          <w:ilvl w:val="1"/>
          <w:numId w:val="1005"/>
        </w:numPr>
      </w:pPr>
      <w:r>
        <w:t xml:space="preserve">Ось X (жертвы, (x)): диапазон от 0 до 10, исходя из пиковых значений численности жертв.</w:t>
      </w:r>
    </w:p>
    <w:p>
      <w:pPr>
        <w:pStyle w:val="Compact"/>
        <w:numPr>
          <w:ilvl w:val="1"/>
          <w:numId w:val="1005"/>
        </w:numPr>
      </w:pPr>
      <w:r>
        <w:t xml:space="preserve">Ось Y (хищники, (y)): диапазон от 0 до 10, исходя из пиковых значений численности хищников (см. рис. 6).</w:t>
      </w:r>
    </w:p>
    <w:bookmarkStart w:id="45" w:name="fig:006"/>
    <w:p>
      <w:pPr>
        <w:pStyle w:val="CaptionedFigure"/>
      </w:pPr>
      <w:r>
        <w:drawing>
          <wp:inline>
            <wp:extent cx="3733800" cy="3556000"/>
            <wp:effectExtent b="0" l="0" r="0" t="0"/>
            <wp:docPr descr="Рис. 6: Настройка осей для фазового портре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осей для фазового портрета</w:t>
      </w:r>
    </w:p>
    <w:bookmarkEnd w:id="45"/>
    <w:p>
      <w:pPr>
        <w:pStyle w:val="BodyText"/>
      </w:pPr>
      <w:r>
        <w:t xml:space="preserve">Такая настройка позволила чётко визуализировать поведение системы.</w:t>
      </w:r>
    </w:p>
    <w:p>
      <w:pPr>
        <w:pStyle w:val="BodyText"/>
      </w:pPr>
      <w:r>
        <w:t xml:space="preserve">Результаты симуляции представлены на рис. 7 (динамика численности: чёрная линия — (x(t)), зелёная — (y(t))) и рис. 8 (фазовый портрет).</w:t>
      </w:r>
    </w:p>
    <w:bookmarkStart w:id="49" w:name="fig:007"/>
    <w:p>
      <w:pPr>
        <w:pStyle w:val="CaptionedFigure"/>
      </w:pPr>
      <w:r>
        <w:drawing>
          <wp:inline>
            <wp:extent cx="3733800" cy="2471943"/>
            <wp:effectExtent b="0" l="0" r="0" t="0"/>
            <wp:docPr descr="Рис. 7: График изменения численности жертв и хищник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изменения численности жертв и хищников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499966"/>
            <wp:effectExtent b="0" l="0" r="0" t="0"/>
            <wp:docPr descr="Рис. 8: Фазовая траектория модели Лотки-Вольтерр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Фазовая траектория модели Лотки-Вольтерры</w:t>
      </w:r>
    </w:p>
    <w:bookmarkEnd w:id="53"/>
    <w:bookmarkEnd w:id="54"/>
    <w:bookmarkStart w:id="73" w:name="Xc74dd668ac23d6a60fba7c4075c313bf91fa0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Альтернативная реализация выполнена с использованием блока</w:t>
      </w:r>
      <w:r>
        <w:t xml:space="preserve"> </w:t>
      </w: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и блоков: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CSCOPXY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,</w:t>
      </w:r>
      <w:r>
        <w:t xml:space="preserve"> </w:t>
      </w:r>
      <w:r>
        <w:rPr>
          <w:rStyle w:val="VerbatimChar"/>
        </w:rPr>
        <w:t xml:space="preserve">MUX</w:t>
      </w:r>
      <w:r>
        <w:t xml:space="preserve">,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. Коэффициенты (a), (b), (c), (d) остались прежними (см. рис. 1).</w:t>
      </w:r>
    </w:p>
    <w:p>
      <w:pPr>
        <w:pStyle w:val="BodyText"/>
      </w:pPr>
      <w:r>
        <w:t xml:space="preserve">Схема модели с блоком Modelica показана на рис. 9. Параметры блока, включая входные («a», «b», «c», «d») и выходные («x», «y») переменные, обозначенные как внешние («E»), представлены на рис. 10 и 11.</w:t>
      </w:r>
    </w:p>
    <w:bookmarkStart w:id="58" w:name="fig:009"/>
    <w:p>
      <w:pPr>
        <w:pStyle w:val="CaptionedFigure"/>
      </w:pPr>
      <w:r>
        <w:drawing>
          <wp:inline>
            <wp:extent cx="3733800" cy="2104647"/>
            <wp:effectExtent b="0" l="0" r="0" t="0"/>
            <wp:docPr descr="Рис. 9: Схема модели с блоком Modelica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модели с блоком Modelica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3520149"/>
            <wp:effectExtent b="0" l="0" r="0" t="0"/>
            <wp:docPr descr="Рис. 10: Настройки блока Modelica (часть 1)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Настройки блока Modelica (часть 1)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3288120"/>
            <wp:effectExtent b="0" l="0" r="0" t="0"/>
            <wp:docPr descr="Рис. 11: Настройки блока Modelica (часть 2)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Настройки блока Modelica (часть 2)</w:t>
      </w:r>
    </w:p>
    <w:bookmarkEnd w:id="66"/>
    <w:p>
      <w:pPr>
        <w:pStyle w:val="BodyText"/>
      </w:pPr>
      <w:r>
        <w:t xml:space="preserve">Результаты симуляции (динамика на рис. 12 и фазовый портрет на рис. 13) совпадают с предыдущими, подтверждая корректность подхода.</w:t>
      </w:r>
    </w:p>
    <w:bookmarkStart w:id="69" w:name="fig:012"/>
    <w:p>
      <w:pPr>
        <w:pStyle w:val="CaptionedFigure"/>
      </w:pPr>
      <w:r>
        <w:drawing>
          <wp:inline>
            <wp:extent cx="3733800" cy="2471943"/>
            <wp:effectExtent b="0" l="0" r="0" t="0"/>
            <wp:docPr descr="Рис. 12: Динамика численности с блоком Modelica" title="" id="67" name="Picture"/>
            <a:graphic>
              <a:graphicData uri="http://schemas.openxmlformats.org/drawingml/2006/picture">
                <pic:pic>
                  <pic:nvPicPr>
                    <pic:cNvPr descr="image/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Динамика численности с блоком Modelica</w:t>
      </w:r>
    </w:p>
    <w:bookmarkEnd w:id="69"/>
    <w:bookmarkStart w:id="72" w:name="fig:013"/>
    <w:p>
      <w:pPr>
        <w:pStyle w:val="CaptionedFigure"/>
      </w:pPr>
      <w:r>
        <w:drawing>
          <wp:inline>
            <wp:extent cx="3733800" cy="2499966"/>
            <wp:effectExtent b="0" l="0" r="0" t="0"/>
            <wp:docPr descr="Рис. 13: Фазовый портрет с блоком Modelica" title="" id="70" name="Picture"/>
            <a:graphic>
              <a:graphicData uri="http://schemas.openxmlformats.org/drawingml/2006/picture">
                <pic:pic>
                  <pic:nvPicPr>
                    <pic:cNvPr descr="image/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Фазовый портрет с блоком Modelica</w:t>
      </w:r>
    </w:p>
    <w:bookmarkEnd w:id="72"/>
    <w:bookmarkEnd w:id="73"/>
    <w:bookmarkStart w:id="82" w:name="Xe7efcfb23cdd063c6755d333f703184075d2c04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Упражнение: реализация модели в OpenModelica</w:t>
      </w:r>
    </w:p>
    <w:p>
      <w:pPr>
        <w:pStyle w:val="FirstParagraph"/>
      </w:pPr>
      <w:r>
        <w:t xml:space="preserve">Модель также реализована в OpenModelica. Код на языке Modelica:</w:t>
      </w:r>
    </w:p>
    <w:p>
      <w:pPr>
        <w:pStyle w:val="SourceCode"/>
      </w:pPr>
      <w:r>
        <w:rPr>
          <w:rStyle w:val="VerbatimChar"/>
        </w:rPr>
        <w:t xml:space="preserve">model predatorvsprey</w:t>
      </w:r>
      <w:r>
        <w:br/>
      </w:r>
      <w:r>
        <w:rPr>
          <w:rStyle w:val="VerbatimChar"/>
        </w:rPr>
        <w:t xml:space="preserve">  parameter Real a = 2;</w:t>
      </w:r>
      <w:r>
        <w:br/>
      </w:r>
      <w:r>
        <w:rPr>
          <w:rStyle w:val="VerbatimChar"/>
        </w:rPr>
        <w:t xml:space="preserve">  parameter Real b = 1;</w:t>
      </w:r>
      <w:r>
        <w:br/>
      </w:r>
      <w:r>
        <w:rPr>
          <w:rStyle w:val="VerbatimChar"/>
        </w:rPr>
        <w:t xml:space="preserve">  parameter Real c = 0.3;</w:t>
      </w:r>
      <w:r>
        <w:br/>
      </w:r>
      <w:r>
        <w:rPr>
          <w:rStyle w:val="VerbatimChar"/>
        </w:rPr>
        <w:t xml:space="preserve">  parameter Real d = 1;</w:t>
      </w:r>
      <w:r>
        <w:br/>
      </w:r>
      <w:r>
        <w:br/>
      </w:r>
      <w:r>
        <w:rPr>
          <w:rStyle w:val="VerbatimChar"/>
        </w:rPr>
        <w:t xml:space="preserve">  Real x(start=2);</w:t>
      </w:r>
      <w:r>
        <w:br/>
      </w:r>
      <w:r>
        <w:rPr>
          <w:rStyle w:val="VerbatimChar"/>
        </w:rPr>
        <w:t xml:space="preserve">  Real y(start=1);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der(x) = a * x - b * x * y;</w:t>
      </w:r>
      <w:r>
        <w:br/>
      </w:r>
      <w:r>
        <w:rPr>
          <w:rStyle w:val="VerbatimChar"/>
        </w:rPr>
        <w:t xml:space="preserve">der(y) = c * x * y - d * y;</w:t>
      </w:r>
      <w:r>
        <w:br/>
      </w:r>
      <w:r>
        <w:rPr>
          <w:rStyle w:val="VerbatimChar"/>
        </w:rPr>
        <w:t xml:space="preserve">end predatorvsprey;</w:t>
      </w:r>
    </w:p>
    <w:p>
      <w:pPr>
        <w:pStyle w:val="FirstParagraph"/>
      </w:pPr>
      <w:r>
        <w:t xml:space="preserve">имуляция выполнена с длительностью 30 секунд. Итоги представлены на рис. 14 (динамика численности) и рис. 15 (фазовый портрет).</w:t>
      </w:r>
    </w:p>
    <w:bookmarkStart w:id="77" w:name="fig:014"/>
    <w:p>
      <w:pPr>
        <w:pStyle w:val="CaptionedFigure"/>
      </w:pPr>
      <w:r>
        <w:drawing>
          <wp:inline>
            <wp:extent cx="3733800" cy="1630770"/>
            <wp:effectExtent b="0" l="0" r="0" t="0"/>
            <wp:docPr descr="Рис. 14: Динамика изменения численности хищников и жертв модели Лотки-Вольтерры при (a = 2, b = 1, c = 0.3, d = 1, x(0) = 2, y(0) = 1)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Динамика изменения численности хищников и жертв модели Лотки-Вольтерры при (a = 2, b = 1, c = 0.3, d = 1, x(0) = 2, y(0) = 1)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1630770"/>
            <wp:effectExtent b="0" l="0" r="0" t="0"/>
            <wp:docPr descr="Рис. 15: Фазовый портрет модели Лотки-Вольтерры при (a = 2, b = 1, c = 0.3, d = 1, x(0) = 2, y(0) = 1)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Фазовый портрет модели Лотки-Вольтерры при (a = 2, b = 1, c = 0.3, d = 1, x(0) = 2, y(0) = 1)</w:t>
      </w:r>
    </w:p>
    <w:bookmarkEnd w:id="81"/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06"/>
        </w:numPr>
      </w:pPr>
      <w:r>
        <w:t xml:space="preserve">В процессе выполнения лабораторной работы модель</w:t>
      </w:r>
      <w:r>
        <w:t xml:space="preserve"> </w:t>
      </w:r>
      <w:r>
        <w:t xml:space="preserve">“хищник-жертва”</w:t>
      </w:r>
      <w:r>
        <w:t xml:space="preserve"> </w:t>
      </w:r>
      <w:r>
        <w:t xml:space="preserve">была успешно смоделирована в xcos (с использованием стандартных блоков и блока Modelica) и в OpenModelica. Построенные графики динамики популяций и фазовые портреты отражают поведение системы при заданных условиях.</w:t>
      </w:r>
    </w:p>
    <w:p>
      <w:pPr>
        <w:pStyle w:val="FirstParagraph"/>
      </w:pPr>
      <w:r>
        <w:t xml:space="preserve">Подробнее см. в</w:t>
      </w:r>
      <w:r>
        <w:t xml:space="preserve"> </w:t>
      </w:r>
      <w:r>
        <w:t xml:space="preserve">[1–3]</w:t>
      </w:r>
      <w:r>
        <w:t xml:space="preserve">.</w:t>
      </w:r>
    </w:p>
    <w:bookmarkEnd w:id="84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Start w:id="85" w:name="ref-strogatz_book_nonlinear-dynamics_e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Strogatz S.H. Nonlinear Dynamics and Chaos: With Applications to Physics, Biology, Chemistry, and Engineering. 2-е изд. CRC Press, 2014. 532 с.</w:t>
      </w:r>
    </w:p>
    <w:bookmarkEnd w:id="85"/>
    <w:bookmarkStart w:id="86" w:name="X02f021966b6e7246aeaedd5f5fa4347e7a8f90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Hirsch M.W., Smale S., Devaney R.L. Differential Equations, Dynamical Systems, and an Introduction to Chaos. 3-е изд. Academic Press, 2012. 432 с.</w:t>
      </w:r>
    </w:p>
    <w:bookmarkEnd w:id="86"/>
    <w:bookmarkStart w:id="87" w:name="ref-fritzson_book_modelica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Fritzson P. Principles of Object-Oriented Modeling and Simulation with Modelica 3.3: A Cyber-Physical Approach. 2-е изд. Wiley-IEEE Press, 2014. 940 с.</w:t>
      </w:r>
    </w:p>
    <w:bookmarkEnd w:id="87"/>
    <w:bookmarkEnd w:id="88"/>
    <w:bookmarkEnd w:id="8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Мугари Абдеррахим</dc:creator>
  <dc:language>ru-RU</dc:language>
  <cp:keywords/>
  <dcterms:created xsi:type="dcterms:W3CDTF">2025-03-15T20:43:53Z</dcterms:created>
  <dcterms:modified xsi:type="dcterms:W3CDTF">2025-03-15T20:43:53Z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13pt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Times New Roman</vt:lpwstr>
  </property>
  <property fmtid="{D5CDD505-2E9C-101B-9397-08002B2CF9AE}" pid="61" name="mainfontoptions">
    <vt:lpwstr>Scale=1.0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Courier New</vt:lpwstr>
  </property>
  <property fmtid="{D5CDD505-2E9C-101B-9397-08002B2CF9AE}" pid="65" name="monofontoptions">
    <vt:lpwstr>Scale=1.0,FakeStretch=0.9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Times New Roman</vt:lpwstr>
  </property>
  <property fmtid="{D5CDD505-2E9C-101B-9397-08002B2CF9AE}" pid="76" name="romanfontoptions">
    <vt:lpwstr>Scale=1.0</vt:lpwstr>
  </property>
  <property fmtid="{D5CDD505-2E9C-101B-9397-08002B2CF9AE}" pid="77" name="sansfont">
    <vt:lpwstr>Times New Roman</vt:lpwstr>
  </property>
  <property fmtid="{D5CDD505-2E9C-101B-9397-08002B2CF9AE}" pid="78" name="sansfontoptions">
    <vt:lpwstr>Scale=1.0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Модель «хищник–жертва»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