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EBA" w:rsidRDefault="00A63166">
      <w:pPr>
        <w:rPr>
          <w:rFonts w:ascii="Arial" w:hAnsi="Arial" w:cs="Arial"/>
          <w:sz w:val="20"/>
          <w:szCs w:val="20"/>
        </w:rPr>
      </w:pPr>
      <w:r w:rsidRPr="00933978">
        <w:rPr>
          <w:rFonts w:ascii="Arial" w:hAnsi="Arial" w:cs="Arial"/>
          <w:b/>
          <w:sz w:val="24"/>
          <w:szCs w:val="24"/>
        </w:rPr>
        <w:t>Entities</w:t>
      </w:r>
      <w:r>
        <w:rPr>
          <w:rFonts w:ascii="Arial" w:hAnsi="Arial" w:cs="Arial"/>
          <w:sz w:val="20"/>
          <w:szCs w:val="20"/>
        </w:rPr>
        <w:t xml:space="preserve"> are things that have attributes and relationships.</w:t>
      </w:r>
    </w:p>
    <w:p w:rsidR="00D016E6" w:rsidRDefault="00D016E6">
      <w:pPr>
        <w:rPr>
          <w:rFonts w:ascii="Arial" w:hAnsi="Arial" w:cs="Arial"/>
          <w:sz w:val="20"/>
          <w:szCs w:val="20"/>
        </w:rPr>
      </w:pPr>
      <w:r>
        <w:rPr>
          <w:rFonts w:ascii="Arial" w:hAnsi="Arial" w:cs="Arial"/>
          <w:sz w:val="20"/>
          <w:szCs w:val="20"/>
        </w:rPr>
        <w:t>Characteristics of the object that has become an entity:</w:t>
      </w:r>
    </w:p>
    <w:p w:rsidR="00D016E6" w:rsidRDefault="00D016E6" w:rsidP="00D016E6">
      <w:pPr>
        <w:pStyle w:val="ListParagraph"/>
        <w:numPr>
          <w:ilvl w:val="0"/>
          <w:numId w:val="1"/>
        </w:numPr>
        <w:rPr>
          <w:rFonts w:ascii="Arial" w:hAnsi="Arial" w:cs="Arial"/>
          <w:sz w:val="20"/>
          <w:szCs w:val="20"/>
        </w:rPr>
      </w:pPr>
      <w:proofErr w:type="spellStart"/>
      <w:r w:rsidRPr="00D016E6">
        <w:rPr>
          <w:rFonts w:ascii="Arial" w:hAnsi="Arial" w:cs="Arial"/>
          <w:b/>
          <w:sz w:val="20"/>
          <w:szCs w:val="20"/>
        </w:rPr>
        <w:t>Persistability</w:t>
      </w:r>
      <w:proofErr w:type="spellEnd"/>
      <w:r>
        <w:rPr>
          <w:rFonts w:ascii="Arial" w:hAnsi="Arial" w:cs="Arial"/>
          <w:sz w:val="20"/>
          <w:szCs w:val="20"/>
        </w:rPr>
        <w:t xml:space="preserve"> – the state of the object can be accessed at a later time, even after the end of the process that has created it. (the application has control over when entity becomes persistent)</w:t>
      </w:r>
    </w:p>
    <w:p w:rsidR="00D016E6" w:rsidRDefault="00D016E6" w:rsidP="00D016E6">
      <w:pPr>
        <w:pStyle w:val="ListParagraph"/>
        <w:numPr>
          <w:ilvl w:val="0"/>
          <w:numId w:val="1"/>
        </w:numPr>
        <w:rPr>
          <w:rFonts w:ascii="Arial" w:hAnsi="Arial" w:cs="Arial"/>
          <w:sz w:val="20"/>
          <w:szCs w:val="20"/>
        </w:rPr>
      </w:pPr>
      <w:r w:rsidRPr="00D016E6">
        <w:rPr>
          <w:rFonts w:ascii="Arial" w:hAnsi="Arial" w:cs="Arial"/>
          <w:b/>
          <w:sz w:val="20"/>
          <w:szCs w:val="20"/>
        </w:rPr>
        <w:t>Identity</w:t>
      </w:r>
      <w:r>
        <w:rPr>
          <w:rFonts w:ascii="Arial" w:hAnsi="Arial" w:cs="Arial"/>
          <w:sz w:val="20"/>
          <w:szCs w:val="20"/>
        </w:rPr>
        <w:t xml:space="preserve"> – every entity should have a key that uniquely identifies it </w:t>
      </w:r>
    </w:p>
    <w:p w:rsidR="00D016E6" w:rsidRDefault="00D016E6" w:rsidP="00D016E6">
      <w:pPr>
        <w:pStyle w:val="ListParagraph"/>
        <w:numPr>
          <w:ilvl w:val="0"/>
          <w:numId w:val="1"/>
        </w:numPr>
        <w:rPr>
          <w:rFonts w:ascii="Arial" w:hAnsi="Arial" w:cs="Arial"/>
          <w:sz w:val="20"/>
          <w:szCs w:val="20"/>
        </w:rPr>
      </w:pPr>
      <w:proofErr w:type="spellStart"/>
      <w:r>
        <w:rPr>
          <w:rFonts w:ascii="Arial" w:hAnsi="Arial" w:cs="Arial"/>
          <w:b/>
          <w:sz w:val="20"/>
          <w:szCs w:val="20"/>
        </w:rPr>
        <w:t>Transactionality</w:t>
      </w:r>
      <w:proofErr w:type="spellEnd"/>
      <w:r>
        <w:rPr>
          <w:rFonts w:ascii="Arial" w:hAnsi="Arial" w:cs="Arial"/>
          <w:b/>
          <w:sz w:val="20"/>
          <w:szCs w:val="20"/>
        </w:rPr>
        <w:t xml:space="preserve"> </w:t>
      </w:r>
      <w:r>
        <w:rPr>
          <w:rFonts w:ascii="Arial" w:hAnsi="Arial" w:cs="Arial"/>
          <w:sz w:val="20"/>
          <w:szCs w:val="20"/>
        </w:rPr>
        <w:t xml:space="preserve">– changes made to the database either succeed </w:t>
      </w:r>
      <w:proofErr w:type="spellStart"/>
      <w:r>
        <w:rPr>
          <w:rFonts w:ascii="Arial" w:hAnsi="Arial" w:cs="Arial"/>
          <w:sz w:val="20"/>
          <w:szCs w:val="20"/>
        </w:rPr>
        <w:t>of</w:t>
      </w:r>
      <w:proofErr w:type="spellEnd"/>
      <w:r>
        <w:rPr>
          <w:rFonts w:ascii="Arial" w:hAnsi="Arial" w:cs="Arial"/>
          <w:sz w:val="20"/>
          <w:szCs w:val="20"/>
        </w:rPr>
        <w:t xml:space="preserve"> fail </w:t>
      </w:r>
      <w:proofErr w:type="spellStart"/>
      <w:r>
        <w:rPr>
          <w:rFonts w:ascii="Arial" w:hAnsi="Arial" w:cs="Arial"/>
          <w:sz w:val="20"/>
          <w:szCs w:val="20"/>
        </w:rPr>
        <w:t>automcatically</w:t>
      </w:r>
      <w:proofErr w:type="spellEnd"/>
      <w:r>
        <w:rPr>
          <w:rFonts w:ascii="Arial" w:hAnsi="Arial" w:cs="Arial"/>
          <w:sz w:val="20"/>
          <w:szCs w:val="20"/>
        </w:rPr>
        <w:t>.</w:t>
      </w:r>
    </w:p>
    <w:p w:rsidR="008E74E7" w:rsidRDefault="00D016E6" w:rsidP="00D016E6">
      <w:pPr>
        <w:pStyle w:val="ListParagraph"/>
        <w:numPr>
          <w:ilvl w:val="0"/>
          <w:numId w:val="1"/>
        </w:numPr>
        <w:rPr>
          <w:rFonts w:ascii="Arial" w:hAnsi="Arial" w:cs="Arial"/>
          <w:sz w:val="20"/>
          <w:szCs w:val="20"/>
        </w:rPr>
      </w:pPr>
      <w:r>
        <w:rPr>
          <w:rFonts w:ascii="Arial" w:hAnsi="Arial" w:cs="Arial"/>
          <w:b/>
          <w:sz w:val="20"/>
          <w:szCs w:val="20"/>
        </w:rPr>
        <w:t xml:space="preserve">Granularity </w:t>
      </w:r>
      <w:r>
        <w:rPr>
          <w:rFonts w:ascii="Arial" w:hAnsi="Arial" w:cs="Arial"/>
          <w:sz w:val="20"/>
          <w:szCs w:val="20"/>
        </w:rPr>
        <w:t xml:space="preserve">– </w:t>
      </w:r>
      <w:proofErr w:type="spellStart"/>
      <w:r>
        <w:rPr>
          <w:rFonts w:ascii="Arial" w:hAnsi="Arial" w:cs="Arial"/>
          <w:sz w:val="20"/>
          <w:szCs w:val="20"/>
        </w:rPr>
        <w:t>entitites</w:t>
      </w:r>
      <w:proofErr w:type="spellEnd"/>
      <w:r>
        <w:rPr>
          <w:rFonts w:ascii="Arial" w:hAnsi="Arial" w:cs="Arial"/>
          <w:sz w:val="20"/>
          <w:szCs w:val="20"/>
        </w:rPr>
        <w:t xml:space="preserve"> are fine-grained objects that </w:t>
      </w:r>
      <w:proofErr w:type="spellStart"/>
      <w:r>
        <w:rPr>
          <w:rFonts w:ascii="Arial" w:hAnsi="Arial" w:cs="Arial"/>
          <w:sz w:val="20"/>
          <w:szCs w:val="20"/>
        </w:rPr>
        <w:t>thave</w:t>
      </w:r>
      <w:proofErr w:type="spellEnd"/>
      <w:r>
        <w:rPr>
          <w:rFonts w:ascii="Arial" w:hAnsi="Arial" w:cs="Arial"/>
          <w:sz w:val="20"/>
          <w:szCs w:val="20"/>
        </w:rPr>
        <w:t xml:space="preserve"> a set of aggregated state that is normally stored in a single place (row). Should be lightweight.</w:t>
      </w:r>
    </w:p>
    <w:p w:rsidR="00D016E6" w:rsidRDefault="00C946C7" w:rsidP="008E74E7">
      <w:pPr>
        <w:ind w:left="60"/>
        <w:rPr>
          <w:rFonts w:ascii="Arial" w:hAnsi="Arial" w:cs="Arial"/>
          <w:sz w:val="20"/>
          <w:szCs w:val="20"/>
        </w:rPr>
      </w:pPr>
      <w:r>
        <w:rPr>
          <w:rFonts w:ascii="Arial" w:hAnsi="Arial" w:cs="Arial"/>
          <w:b/>
          <w:sz w:val="24"/>
          <w:szCs w:val="24"/>
        </w:rPr>
        <w:t>Entity metadata</w:t>
      </w:r>
      <w:r w:rsidR="0052358D">
        <w:rPr>
          <w:rFonts w:ascii="Arial" w:hAnsi="Arial" w:cs="Arial"/>
          <w:b/>
          <w:sz w:val="24"/>
          <w:szCs w:val="24"/>
        </w:rPr>
        <w:t xml:space="preserve"> – </w:t>
      </w:r>
      <w:r w:rsidR="0052358D">
        <w:rPr>
          <w:rFonts w:ascii="Arial" w:hAnsi="Arial" w:cs="Arial"/>
          <w:sz w:val="20"/>
          <w:szCs w:val="20"/>
        </w:rPr>
        <w:t>description that enables the persistence layer to recognize, interpret and properly manage the entity. Entity metadata may be specified in two ways: annotation and xml.</w:t>
      </w:r>
    </w:p>
    <w:p w:rsidR="00E67040" w:rsidRDefault="00E67040" w:rsidP="008E74E7">
      <w:pPr>
        <w:ind w:left="60"/>
        <w:rPr>
          <w:rFonts w:ascii="Arial" w:hAnsi="Arial" w:cs="Arial"/>
          <w:sz w:val="20"/>
          <w:szCs w:val="20"/>
        </w:rPr>
      </w:pPr>
    </w:p>
    <w:p w:rsidR="00E67040" w:rsidRPr="00E67040" w:rsidRDefault="00E67040" w:rsidP="008E74E7">
      <w:pPr>
        <w:ind w:left="60"/>
        <w:rPr>
          <w:rFonts w:ascii="Arial" w:hAnsi="Arial" w:cs="Arial"/>
          <w:b/>
          <w:sz w:val="24"/>
          <w:szCs w:val="24"/>
        </w:rPr>
      </w:pPr>
      <w:r w:rsidRPr="00E67040">
        <w:rPr>
          <w:rFonts w:ascii="Arial" w:hAnsi="Arial" w:cs="Arial"/>
          <w:b/>
          <w:sz w:val="24"/>
          <w:szCs w:val="24"/>
        </w:rPr>
        <w:t>Annotations</w:t>
      </w:r>
    </w:p>
    <w:p w:rsidR="008E74E7" w:rsidRDefault="00E67040" w:rsidP="008E74E7">
      <w:pPr>
        <w:ind w:left="60"/>
        <w:rPr>
          <w:rFonts w:ascii="Arial" w:hAnsi="Arial" w:cs="Arial"/>
          <w:sz w:val="20"/>
          <w:szCs w:val="20"/>
        </w:rPr>
      </w:pPr>
      <w:r w:rsidRPr="00E67040">
        <w:rPr>
          <w:rFonts w:ascii="Arial" w:hAnsi="Arial" w:cs="Arial"/>
          <w:b/>
          <w:sz w:val="20"/>
          <w:szCs w:val="20"/>
        </w:rPr>
        <w:t>javax.persistence.*</w:t>
      </w:r>
      <w:r>
        <w:rPr>
          <w:rFonts w:ascii="Arial" w:hAnsi="Arial" w:cs="Arial"/>
          <w:b/>
          <w:sz w:val="20"/>
          <w:szCs w:val="20"/>
        </w:rPr>
        <w:t xml:space="preserve"> </w:t>
      </w:r>
      <w:r w:rsidRPr="00E67040">
        <w:rPr>
          <w:rFonts w:ascii="Arial" w:hAnsi="Arial" w:cs="Arial"/>
          <w:b/>
          <w:sz w:val="20"/>
          <w:szCs w:val="20"/>
        </w:rPr>
        <w:sym w:font="Wingdings" w:char="F0DF"/>
      </w:r>
      <w:r>
        <w:rPr>
          <w:rFonts w:ascii="Arial" w:hAnsi="Arial" w:cs="Arial"/>
          <w:b/>
          <w:sz w:val="20"/>
          <w:szCs w:val="20"/>
        </w:rPr>
        <w:t xml:space="preserve"> </w:t>
      </w:r>
      <w:r w:rsidRPr="00E67040">
        <w:rPr>
          <w:rFonts w:ascii="Arial" w:hAnsi="Arial" w:cs="Arial"/>
          <w:sz w:val="20"/>
          <w:szCs w:val="20"/>
        </w:rPr>
        <w:t>Base package for all annotations</w:t>
      </w:r>
    </w:p>
    <w:p w:rsidR="00B93865" w:rsidRDefault="00B93865" w:rsidP="008E74E7">
      <w:pPr>
        <w:ind w:left="60"/>
        <w:rPr>
          <w:rFonts w:ascii="Arial" w:hAnsi="Arial" w:cs="Arial"/>
          <w:sz w:val="20"/>
          <w:szCs w:val="20"/>
        </w:rPr>
      </w:pPr>
    </w:p>
    <w:p w:rsidR="00B93865" w:rsidRDefault="00B93865" w:rsidP="008E74E7">
      <w:pPr>
        <w:ind w:left="60"/>
        <w:rPr>
          <w:rFonts w:ascii="Arial" w:hAnsi="Arial" w:cs="Arial"/>
          <w:b/>
          <w:sz w:val="24"/>
          <w:szCs w:val="24"/>
        </w:rPr>
      </w:pPr>
      <w:r w:rsidRPr="00B93865">
        <w:rPr>
          <w:rFonts w:ascii="Arial" w:hAnsi="Arial" w:cs="Arial"/>
          <w:b/>
          <w:sz w:val="24"/>
          <w:szCs w:val="24"/>
        </w:rPr>
        <w:t>XML</w:t>
      </w:r>
    </w:p>
    <w:p w:rsidR="00B93865" w:rsidRDefault="00B93865" w:rsidP="008E74E7">
      <w:pPr>
        <w:ind w:left="60"/>
        <w:rPr>
          <w:rFonts w:ascii="Arial" w:hAnsi="Arial" w:cs="Arial"/>
          <w:sz w:val="20"/>
          <w:szCs w:val="20"/>
        </w:rPr>
      </w:pPr>
      <w:r>
        <w:rPr>
          <w:rFonts w:ascii="Arial" w:hAnsi="Arial" w:cs="Arial"/>
          <w:sz w:val="20"/>
          <w:szCs w:val="20"/>
        </w:rPr>
        <w:t xml:space="preserve">JPA </w:t>
      </w:r>
      <w:r w:rsidRPr="00B93865">
        <w:rPr>
          <w:rFonts w:ascii="Arial" w:hAnsi="Arial" w:cs="Arial"/>
          <w:sz w:val="20"/>
          <w:szCs w:val="20"/>
        </w:rPr>
        <w:t>XML</w:t>
      </w:r>
      <w:r>
        <w:rPr>
          <w:rFonts w:ascii="Arial" w:hAnsi="Arial" w:cs="Arial"/>
          <w:sz w:val="20"/>
          <w:szCs w:val="20"/>
        </w:rPr>
        <w:t xml:space="preserve"> </w:t>
      </w:r>
      <w:proofErr w:type="spellStart"/>
      <w:r>
        <w:rPr>
          <w:rFonts w:ascii="Arial" w:hAnsi="Arial" w:cs="Arial"/>
          <w:sz w:val="20"/>
          <w:szCs w:val="20"/>
        </w:rPr>
        <w:t>config</w:t>
      </w:r>
      <w:proofErr w:type="spellEnd"/>
      <w:r>
        <w:rPr>
          <w:rFonts w:ascii="Arial" w:hAnsi="Arial" w:cs="Arial"/>
          <w:sz w:val="20"/>
          <w:szCs w:val="20"/>
        </w:rPr>
        <w:t xml:space="preserve"> has mostly been patterned after annotations.</w:t>
      </w:r>
    </w:p>
    <w:p w:rsidR="00B22E8E" w:rsidRDefault="00B22E8E" w:rsidP="008E74E7">
      <w:pPr>
        <w:ind w:left="60"/>
        <w:rPr>
          <w:rFonts w:ascii="Arial" w:hAnsi="Arial" w:cs="Arial"/>
          <w:sz w:val="20"/>
          <w:szCs w:val="20"/>
        </w:rPr>
      </w:pPr>
    </w:p>
    <w:p w:rsidR="00B22E8E" w:rsidRDefault="00B22E8E" w:rsidP="008E74E7">
      <w:pPr>
        <w:ind w:left="60"/>
        <w:rPr>
          <w:rFonts w:ascii="Arial" w:hAnsi="Arial" w:cs="Arial"/>
          <w:b/>
          <w:sz w:val="24"/>
          <w:szCs w:val="24"/>
        </w:rPr>
      </w:pPr>
      <w:r w:rsidRPr="00B22E8E">
        <w:rPr>
          <w:rFonts w:ascii="Arial" w:hAnsi="Arial" w:cs="Arial"/>
          <w:b/>
          <w:sz w:val="24"/>
          <w:szCs w:val="24"/>
        </w:rPr>
        <w:t>Configuration by Exception</w:t>
      </w:r>
    </w:p>
    <w:p w:rsidR="00B22E8E" w:rsidRPr="00B22E8E" w:rsidRDefault="00B22E8E" w:rsidP="008E74E7">
      <w:pPr>
        <w:ind w:left="60"/>
        <w:rPr>
          <w:rFonts w:ascii="Arial" w:hAnsi="Arial" w:cs="Arial"/>
          <w:sz w:val="20"/>
          <w:szCs w:val="20"/>
        </w:rPr>
      </w:pPr>
      <w:r w:rsidRPr="00B22E8E">
        <w:rPr>
          <w:rFonts w:ascii="Arial" w:hAnsi="Arial" w:cs="Arial"/>
          <w:sz w:val="20"/>
          <w:szCs w:val="20"/>
        </w:rPr>
        <w:t>Con</w:t>
      </w:r>
      <w:r>
        <w:rPr>
          <w:rFonts w:ascii="Arial" w:hAnsi="Arial" w:cs="Arial"/>
          <w:sz w:val="20"/>
          <w:szCs w:val="20"/>
        </w:rPr>
        <w:t>figuration be exception means that the persistence engine defines defaults that apply to the majority of the applications and that users need to supply values only when they want to override the default value.</w:t>
      </w:r>
      <w:bookmarkStart w:id="0" w:name="_GoBack"/>
      <w:bookmarkEnd w:id="0"/>
    </w:p>
    <w:sectPr w:rsidR="00B22E8E" w:rsidRPr="00B22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F75CF"/>
    <w:multiLevelType w:val="hybridMultilevel"/>
    <w:tmpl w:val="B00AEA4A"/>
    <w:lvl w:ilvl="0" w:tplc="24DA1504">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094"/>
    <w:rsid w:val="002019F5"/>
    <w:rsid w:val="0052358D"/>
    <w:rsid w:val="00742A49"/>
    <w:rsid w:val="008E74E7"/>
    <w:rsid w:val="00933978"/>
    <w:rsid w:val="00A63166"/>
    <w:rsid w:val="00B22E8E"/>
    <w:rsid w:val="00B93865"/>
    <w:rsid w:val="00C946C7"/>
    <w:rsid w:val="00CE3094"/>
    <w:rsid w:val="00D016E6"/>
    <w:rsid w:val="00E67040"/>
    <w:rsid w:val="00E7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64939-1A95-47C8-838B-99D123CD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Rahavoi, Illia</dc:creator>
  <cp:keywords/>
  <dc:description/>
  <cp:lastModifiedBy>Rahavoi, Illia</cp:lastModifiedBy>
  <cp:revision>10</cp:revision>
  <dcterms:created xsi:type="dcterms:W3CDTF">2015-01-21T01:42:00Z</dcterms:created>
  <dcterms:modified xsi:type="dcterms:W3CDTF">2015-01-21T02:11:00Z</dcterms:modified>
</cp:coreProperties>
</file>