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4EE0D" w14:textId="16393A54" w:rsidR="009B63AC" w:rsidRPr="009D53F0" w:rsidRDefault="009B63AC" w:rsidP="00327673">
      <w:pPr>
        <w:spacing w:before="120" w:after="120" w:line="240" w:lineRule="auto"/>
        <w:jc w:val="center"/>
        <w:rPr>
          <w:rFonts w:ascii="Arial" w:hAnsi="Arial" w:cs="Arial"/>
          <w:b/>
          <w:sz w:val="20"/>
          <w:szCs w:val="20"/>
        </w:rPr>
      </w:pPr>
      <w:r w:rsidRPr="009D53F0">
        <w:rPr>
          <w:rFonts w:ascii="Arial" w:hAnsi="Arial" w:cs="Arial"/>
          <w:b/>
          <w:sz w:val="20"/>
          <w:szCs w:val="20"/>
        </w:rPr>
        <w:t>AYUDA MEMORIA</w:t>
      </w:r>
    </w:p>
    <w:p w14:paraId="4E844BF3" w14:textId="0E275E40" w:rsidR="003059AD" w:rsidRPr="009D53F0" w:rsidRDefault="00AE2058" w:rsidP="00327673">
      <w:pPr>
        <w:spacing w:before="120" w:after="120" w:line="240" w:lineRule="auto"/>
        <w:jc w:val="center"/>
        <w:rPr>
          <w:rFonts w:ascii="Arial" w:hAnsi="Arial" w:cs="Arial"/>
          <w:b/>
          <w:bCs/>
          <w:noProof/>
          <w:sz w:val="20"/>
          <w:szCs w:val="20"/>
        </w:rPr>
      </w:pPr>
      <w:r>
        <w:rPr>
          <w:rFonts w:ascii="Arial" w:hAnsi="Arial" w:cs="Arial"/>
          <w:b/>
          <w:bCs/>
          <w:sz w:val="20"/>
          <w:szCs w:val="20"/>
          <w:lang w:eastAsia="es-ES"/>
        </w:rPr>
        <w:t>Metodología de estimación de</w:t>
      </w:r>
      <w:r w:rsidR="002E06BC">
        <w:rPr>
          <w:rFonts w:ascii="Arial" w:hAnsi="Arial" w:cs="Arial"/>
          <w:b/>
          <w:bCs/>
          <w:sz w:val="20"/>
          <w:szCs w:val="20"/>
          <w:lang w:eastAsia="es-ES"/>
        </w:rPr>
        <w:t xml:space="preserve">l costo </w:t>
      </w:r>
      <w:r>
        <w:rPr>
          <w:rFonts w:ascii="Arial" w:hAnsi="Arial" w:cs="Arial"/>
          <w:b/>
          <w:bCs/>
          <w:sz w:val="20"/>
          <w:szCs w:val="20"/>
          <w:lang w:eastAsia="es-ES"/>
        </w:rPr>
        <w:t>de mantenimiento preventivo de locales educativos existentes</w:t>
      </w:r>
    </w:p>
    <w:p w14:paraId="7CA98517" w14:textId="19BF7532" w:rsidR="00B80398" w:rsidRPr="009D53F0" w:rsidRDefault="00AE2058" w:rsidP="00B80398">
      <w:pPr>
        <w:pStyle w:val="Prrafodelista"/>
        <w:numPr>
          <w:ilvl w:val="0"/>
          <w:numId w:val="4"/>
        </w:numPr>
        <w:spacing w:before="360" w:after="240" w:line="240" w:lineRule="auto"/>
        <w:ind w:left="357" w:hanging="357"/>
        <w:contextualSpacing w:val="0"/>
        <w:jc w:val="both"/>
        <w:rPr>
          <w:rFonts w:ascii="Arial" w:hAnsi="Arial" w:cs="Arial"/>
          <w:b/>
          <w:sz w:val="20"/>
          <w:szCs w:val="20"/>
        </w:rPr>
      </w:pPr>
      <w:r>
        <w:rPr>
          <w:rFonts w:ascii="Arial" w:hAnsi="Arial" w:cs="Arial"/>
          <w:b/>
          <w:sz w:val="20"/>
          <w:szCs w:val="20"/>
        </w:rPr>
        <w:t>Antecedentes</w:t>
      </w:r>
    </w:p>
    <w:p w14:paraId="5E52BBD8" w14:textId="4D4740F6" w:rsidR="00AE2058" w:rsidRPr="00AE2058" w:rsidRDefault="00AE2058" w:rsidP="00AE2058">
      <w:pPr>
        <w:pStyle w:val="Prrafodelista"/>
        <w:numPr>
          <w:ilvl w:val="0"/>
          <w:numId w:val="5"/>
        </w:numPr>
        <w:spacing w:before="240" w:after="120" w:line="240" w:lineRule="auto"/>
        <w:contextualSpacing w:val="0"/>
        <w:jc w:val="both"/>
        <w:rPr>
          <w:rFonts w:ascii="Arial" w:hAnsi="Arial" w:cs="Arial"/>
          <w:sz w:val="20"/>
          <w:szCs w:val="20"/>
        </w:rPr>
      </w:pPr>
      <w:r>
        <w:rPr>
          <w:rFonts w:ascii="Arial" w:hAnsi="Arial" w:cs="Arial"/>
          <w:sz w:val="20"/>
          <w:szCs w:val="20"/>
        </w:rPr>
        <w:t>M</w:t>
      </w:r>
      <w:r w:rsidRPr="00AE2058">
        <w:rPr>
          <w:rFonts w:ascii="Arial" w:hAnsi="Arial" w:cs="Arial"/>
          <w:sz w:val="20"/>
          <w:szCs w:val="20"/>
        </w:rPr>
        <w:t xml:space="preserve">ediante Resolución Ministerial 153-2017-MINEDU, de fecha 6 de marzo del 2017, el Ministerio de Educación (MINEDU) aprobó el Plan Nacional de Infraestructura Educativa al 2025 (PNIE), concebido como el instrumento central de planificación de infraestructura educativa en el Perú al 2025. </w:t>
      </w:r>
    </w:p>
    <w:p w14:paraId="26FD46C8" w14:textId="77777777" w:rsidR="00AE2058" w:rsidRPr="00AE2058" w:rsidRDefault="00AE2058" w:rsidP="00AE2058">
      <w:pPr>
        <w:pStyle w:val="Prrafodelista"/>
        <w:spacing w:before="120" w:after="120" w:line="240" w:lineRule="auto"/>
        <w:ind w:left="357"/>
        <w:contextualSpacing w:val="0"/>
        <w:jc w:val="both"/>
        <w:rPr>
          <w:rFonts w:ascii="Arial" w:hAnsi="Arial" w:cs="Arial"/>
          <w:sz w:val="20"/>
          <w:szCs w:val="20"/>
        </w:rPr>
      </w:pPr>
      <w:r w:rsidRPr="00AE2058">
        <w:rPr>
          <w:rFonts w:ascii="Arial" w:hAnsi="Arial" w:cs="Arial"/>
          <w:sz w:val="20"/>
          <w:szCs w:val="20"/>
        </w:rPr>
        <w:t xml:space="preserve">Este documento presenta una estrategia para el cierre de la brecha de infraestructura educativa pública para los servicios de educación básica, técnico productiva y superior pedagógica y tecnológica; cuyo principal objetivo es contribuir a la satisfacción del servicio educativo, mejorando su condición, capacidad, gestión y sostenibilidad para avanzar hacia una educación de calidad para todos. </w:t>
      </w:r>
    </w:p>
    <w:p w14:paraId="558805C8" w14:textId="763F2F91" w:rsidR="00AE2058" w:rsidRPr="00AE2058" w:rsidRDefault="00AE2058" w:rsidP="00AE2058">
      <w:pPr>
        <w:pStyle w:val="Prrafodelista"/>
        <w:spacing w:before="120" w:after="120" w:line="240" w:lineRule="auto"/>
        <w:ind w:left="357"/>
        <w:contextualSpacing w:val="0"/>
        <w:jc w:val="both"/>
        <w:rPr>
          <w:rFonts w:ascii="Arial" w:hAnsi="Arial" w:cs="Arial"/>
          <w:sz w:val="20"/>
          <w:szCs w:val="20"/>
        </w:rPr>
      </w:pPr>
      <w:r w:rsidRPr="00AE2058">
        <w:rPr>
          <w:rFonts w:ascii="Arial" w:hAnsi="Arial" w:cs="Arial"/>
          <w:sz w:val="20"/>
          <w:szCs w:val="20"/>
        </w:rPr>
        <w:t>El PNIE constituye uno de los instrumentos centrales de planificación de la infraestructura educativa en el Perú a largo plazo y tomó como línea de base para su formulación la información provista por el</w:t>
      </w:r>
      <w:r>
        <w:rPr>
          <w:rFonts w:ascii="Arial" w:hAnsi="Arial" w:cs="Arial"/>
          <w:sz w:val="20"/>
          <w:szCs w:val="20"/>
        </w:rPr>
        <w:t xml:space="preserve"> Censo de Infraestructura Educativa 2013 (</w:t>
      </w:r>
      <w:r w:rsidRPr="00AE2058">
        <w:rPr>
          <w:rFonts w:ascii="Arial" w:hAnsi="Arial" w:cs="Arial"/>
          <w:sz w:val="20"/>
          <w:szCs w:val="20"/>
        </w:rPr>
        <w:t>CIE 2013</w:t>
      </w:r>
      <w:r>
        <w:rPr>
          <w:rFonts w:ascii="Arial" w:hAnsi="Arial" w:cs="Arial"/>
          <w:sz w:val="20"/>
          <w:szCs w:val="20"/>
        </w:rPr>
        <w:t>)</w:t>
      </w:r>
      <w:r w:rsidRPr="00AE2058">
        <w:rPr>
          <w:rFonts w:ascii="Arial" w:hAnsi="Arial" w:cs="Arial"/>
          <w:sz w:val="20"/>
          <w:szCs w:val="20"/>
        </w:rPr>
        <w:t>, elaborándose a partir de este un primer diagnóstico del estado físico de la infraestructura educativa pública.</w:t>
      </w:r>
    </w:p>
    <w:p w14:paraId="2FADCC0F" w14:textId="2A66DD21" w:rsidR="00AE2058" w:rsidRPr="00AE2058" w:rsidRDefault="00AE2058" w:rsidP="00AE2058">
      <w:pPr>
        <w:pStyle w:val="Prrafodelista"/>
        <w:numPr>
          <w:ilvl w:val="0"/>
          <w:numId w:val="5"/>
        </w:numPr>
        <w:spacing w:before="240" w:after="240" w:line="240" w:lineRule="auto"/>
        <w:ind w:left="357" w:hanging="357"/>
        <w:contextualSpacing w:val="0"/>
        <w:jc w:val="both"/>
        <w:rPr>
          <w:rFonts w:ascii="Arial" w:hAnsi="Arial" w:cs="Arial"/>
          <w:sz w:val="20"/>
          <w:szCs w:val="20"/>
        </w:rPr>
      </w:pPr>
      <w:r w:rsidRPr="00AE2058">
        <w:rPr>
          <w:rFonts w:ascii="Arial" w:hAnsi="Arial" w:cs="Arial"/>
          <w:sz w:val="20"/>
          <w:szCs w:val="20"/>
        </w:rPr>
        <w:t>El PNIE estableció un cálculo de la brecha de infraestructura educativa con el objetivo de dimensionar los recursos monetarios necesarios para reducir el riesgo estructural y brindar las condiciones mínimas requeridas para que el servicio educativo se preste en una infraestructura adecuada. Este cálculo ascendió a S/100,499 millones y se puede descomponer según los cuatro (4) objetivos específicos del PNIE, tal como se muestra en el siguiente cuadro:</w:t>
      </w:r>
    </w:p>
    <w:tbl>
      <w:tblPr>
        <w:tblW w:w="8172" w:type="dxa"/>
        <w:jc w:val="right"/>
        <w:tblCellMar>
          <w:left w:w="70" w:type="dxa"/>
          <w:right w:w="70" w:type="dxa"/>
        </w:tblCellMar>
        <w:tblLook w:val="04A0" w:firstRow="1" w:lastRow="0" w:firstColumn="1" w:lastColumn="0" w:noHBand="0" w:noVBand="1"/>
      </w:tblPr>
      <w:tblGrid>
        <w:gridCol w:w="5812"/>
        <w:gridCol w:w="2360"/>
      </w:tblGrid>
      <w:tr w:rsidR="00AE2058" w:rsidRPr="00AE2058" w14:paraId="67C567D5" w14:textId="77777777" w:rsidTr="00AE2058">
        <w:trPr>
          <w:trHeight w:val="807"/>
          <w:tblHeader/>
          <w:jc w:val="right"/>
        </w:trPr>
        <w:tc>
          <w:tcPr>
            <w:tcW w:w="5812" w:type="dxa"/>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397A2A20" w14:textId="77777777" w:rsidR="00AE2058" w:rsidRPr="00AE2058" w:rsidRDefault="00AE2058" w:rsidP="00AE2058">
            <w:pPr>
              <w:spacing w:after="0" w:line="240" w:lineRule="auto"/>
              <w:jc w:val="center"/>
              <w:rPr>
                <w:rFonts w:ascii="Arial" w:hAnsi="Arial" w:cs="Arial"/>
                <w:b/>
                <w:bCs/>
                <w:sz w:val="20"/>
                <w:szCs w:val="20"/>
                <w:lang w:val="es-ES" w:eastAsia="es-ES"/>
              </w:rPr>
            </w:pPr>
            <w:r w:rsidRPr="00AE2058">
              <w:rPr>
                <w:rFonts w:ascii="Arial" w:hAnsi="Arial" w:cs="Arial"/>
                <w:b/>
                <w:bCs/>
                <w:sz w:val="20"/>
                <w:szCs w:val="20"/>
                <w:lang w:eastAsia="es-ES"/>
              </w:rPr>
              <w:t>Objetivos específicos del PNIE</w:t>
            </w:r>
          </w:p>
        </w:tc>
        <w:tc>
          <w:tcPr>
            <w:tcW w:w="2360" w:type="dxa"/>
            <w:tcBorders>
              <w:top w:val="single" w:sz="4" w:space="0" w:color="auto"/>
              <w:left w:val="nil"/>
              <w:bottom w:val="single" w:sz="4" w:space="0" w:color="auto"/>
              <w:right w:val="single" w:sz="4" w:space="0" w:color="auto"/>
            </w:tcBorders>
            <w:shd w:val="clear" w:color="auto" w:fill="E7E6E6" w:themeFill="background2"/>
            <w:noWrap/>
            <w:vAlign w:val="center"/>
            <w:hideMark/>
          </w:tcPr>
          <w:p w14:paraId="1EAEDCD4" w14:textId="77777777" w:rsidR="00AE2058" w:rsidRPr="00AE2058" w:rsidRDefault="00AE2058" w:rsidP="00AE2058">
            <w:pPr>
              <w:spacing w:after="0" w:line="240" w:lineRule="auto"/>
              <w:jc w:val="center"/>
              <w:rPr>
                <w:rFonts w:ascii="Arial" w:hAnsi="Arial" w:cs="Arial"/>
                <w:b/>
                <w:bCs/>
                <w:sz w:val="20"/>
                <w:szCs w:val="20"/>
                <w:lang w:eastAsia="es-ES"/>
              </w:rPr>
            </w:pPr>
            <w:r w:rsidRPr="00AE2058">
              <w:rPr>
                <w:rFonts w:ascii="Arial" w:hAnsi="Arial" w:cs="Arial"/>
                <w:b/>
                <w:bCs/>
                <w:sz w:val="20"/>
                <w:szCs w:val="20"/>
                <w:lang w:eastAsia="es-ES"/>
              </w:rPr>
              <w:t>Necesidades de inversión</w:t>
            </w:r>
          </w:p>
          <w:p w14:paraId="355A6444" w14:textId="77777777" w:rsidR="00AE2058" w:rsidRPr="00AE2058" w:rsidRDefault="00AE2058" w:rsidP="00AE2058">
            <w:pPr>
              <w:spacing w:after="0" w:line="240" w:lineRule="auto"/>
              <w:jc w:val="center"/>
              <w:rPr>
                <w:rFonts w:ascii="Arial" w:hAnsi="Arial" w:cs="Arial"/>
                <w:b/>
                <w:bCs/>
                <w:sz w:val="20"/>
                <w:szCs w:val="20"/>
                <w:lang w:val="es-ES" w:eastAsia="es-ES"/>
              </w:rPr>
            </w:pPr>
            <w:r w:rsidRPr="00AE2058">
              <w:rPr>
                <w:rFonts w:ascii="Arial" w:hAnsi="Arial" w:cs="Arial"/>
                <w:b/>
                <w:bCs/>
                <w:sz w:val="20"/>
                <w:szCs w:val="20"/>
                <w:lang w:val="es-ES" w:eastAsia="es-ES"/>
              </w:rPr>
              <w:t>(millones S/)</w:t>
            </w:r>
          </w:p>
        </w:tc>
      </w:tr>
      <w:tr w:rsidR="00AE2058" w:rsidRPr="00AE2058" w14:paraId="186C8576" w14:textId="77777777" w:rsidTr="00AE2058">
        <w:trPr>
          <w:trHeight w:val="510"/>
          <w:jc w:val="right"/>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14:paraId="1B2D3C22" w14:textId="77777777" w:rsidR="00AE2058" w:rsidRPr="00AE2058" w:rsidRDefault="00AE2058" w:rsidP="00AE2058">
            <w:pPr>
              <w:spacing w:after="0" w:line="240" w:lineRule="auto"/>
              <w:rPr>
                <w:rFonts w:ascii="Arial" w:hAnsi="Arial" w:cs="Arial"/>
                <w:sz w:val="20"/>
                <w:szCs w:val="20"/>
                <w:lang w:val="es-ES" w:eastAsia="es-ES"/>
              </w:rPr>
            </w:pPr>
            <w:r w:rsidRPr="00AE2058">
              <w:rPr>
                <w:rFonts w:ascii="Arial" w:hAnsi="Arial" w:cs="Arial"/>
                <w:sz w:val="20"/>
                <w:szCs w:val="20"/>
                <w:lang w:eastAsia="es-ES"/>
              </w:rPr>
              <w:t>1. Asegurar condiciones básicas de seguridad y funcionalidad en la infraestructura educativa existente.</w:t>
            </w:r>
          </w:p>
        </w:tc>
        <w:tc>
          <w:tcPr>
            <w:tcW w:w="2360" w:type="dxa"/>
            <w:tcBorders>
              <w:top w:val="single" w:sz="4" w:space="0" w:color="auto"/>
              <w:left w:val="nil"/>
              <w:bottom w:val="single" w:sz="4" w:space="0" w:color="auto"/>
              <w:right w:val="single" w:sz="4" w:space="0" w:color="auto"/>
            </w:tcBorders>
            <w:shd w:val="clear" w:color="auto" w:fill="auto"/>
            <w:noWrap/>
            <w:vAlign w:val="center"/>
            <w:hideMark/>
          </w:tcPr>
          <w:p w14:paraId="3168B174" w14:textId="77777777" w:rsidR="00AE2058" w:rsidRPr="00AE2058" w:rsidRDefault="00AE2058" w:rsidP="00AE2058">
            <w:pPr>
              <w:spacing w:after="0" w:line="240" w:lineRule="auto"/>
              <w:jc w:val="right"/>
              <w:rPr>
                <w:rFonts w:ascii="Arial" w:hAnsi="Arial" w:cs="Arial"/>
                <w:sz w:val="20"/>
                <w:szCs w:val="20"/>
                <w:lang w:val="es-ES" w:eastAsia="es-ES"/>
              </w:rPr>
            </w:pPr>
            <w:r w:rsidRPr="00AE2058">
              <w:rPr>
                <w:rFonts w:ascii="Arial" w:hAnsi="Arial" w:cs="Arial"/>
                <w:sz w:val="20"/>
                <w:szCs w:val="20"/>
                <w:lang w:val="es-ES" w:eastAsia="es-ES"/>
              </w:rPr>
              <w:t>72,747</w:t>
            </w:r>
          </w:p>
        </w:tc>
      </w:tr>
      <w:tr w:rsidR="00AE2058" w:rsidRPr="00AE2058" w14:paraId="2B2E46F9" w14:textId="77777777" w:rsidTr="00AE2058">
        <w:trPr>
          <w:trHeight w:val="510"/>
          <w:jc w:val="right"/>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14:paraId="1648BCF0" w14:textId="77777777" w:rsidR="00AE2058" w:rsidRPr="00AE2058" w:rsidRDefault="00AE2058" w:rsidP="00AE2058">
            <w:pPr>
              <w:spacing w:after="0" w:line="240" w:lineRule="auto"/>
              <w:rPr>
                <w:rFonts w:ascii="Arial" w:hAnsi="Arial" w:cs="Arial"/>
                <w:sz w:val="20"/>
                <w:szCs w:val="20"/>
                <w:lang w:val="es-ES" w:eastAsia="es-ES"/>
              </w:rPr>
            </w:pPr>
            <w:r w:rsidRPr="00AE2058">
              <w:rPr>
                <w:rFonts w:ascii="Arial" w:hAnsi="Arial" w:cs="Arial"/>
                <w:sz w:val="20"/>
                <w:szCs w:val="20"/>
                <w:lang w:eastAsia="es-ES"/>
              </w:rPr>
              <w:t>2. Ampliar la capacidad de la infraestructura educativa para atender la demanda aún no cubierta y la proyectada.</w:t>
            </w:r>
          </w:p>
        </w:tc>
        <w:tc>
          <w:tcPr>
            <w:tcW w:w="2360" w:type="dxa"/>
            <w:tcBorders>
              <w:top w:val="nil"/>
              <w:left w:val="nil"/>
              <w:bottom w:val="single" w:sz="4" w:space="0" w:color="auto"/>
              <w:right w:val="single" w:sz="4" w:space="0" w:color="auto"/>
            </w:tcBorders>
            <w:shd w:val="clear" w:color="auto" w:fill="auto"/>
            <w:noWrap/>
            <w:vAlign w:val="center"/>
            <w:hideMark/>
          </w:tcPr>
          <w:p w14:paraId="7F84F815" w14:textId="77777777" w:rsidR="00AE2058" w:rsidRPr="00AE2058" w:rsidRDefault="00AE2058" w:rsidP="00AE2058">
            <w:pPr>
              <w:spacing w:after="0" w:line="240" w:lineRule="auto"/>
              <w:jc w:val="right"/>
              <w:rPr>
                <w:rFonts w:ascii="Arial" w:hAnsi="Arial" w:cs="Arial"/>
                <w:sz w:val="20"/>
                <w:szCs w:val="20"/>
                <w:lang w:val="es-ES" w:eastAsia="es-ES"/>
              </w:rPr>
            </w:pPr>
            <w:r w:rsidRPr="00AE2058">
              <w:rPr>
                <w:rFonts w:ascii="Arial" w:hAnsi="Arial" w:cs="Arial"/>
                <w:sz w:val="20"/>
                <w:szCs w:val="20"/>
                <w:lang w:val="es-ES" w:eastAsia="es-ES"/>
              </w:rPr>
              <w:t>21,021</w:t>
            </w:r>
          </w:p>
        </w:tc>
      </w:tr>
      <w:tr w:rsidR="00AE2058" w:rsidRPr="00AE2058" w14:paraId="41967B64" w14:textId="77777777" w:rsidTr="00AE2058">
        <w:trPr>
          <w:trHeight w:val="259"/>
          <w:jc w:val="right"/>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14:paraId="2965965A" w14:textId="77777777" w:rsidR="00AE2058" w:rsidRPr="00AE2058" w:rsidRDefault="00AE2058" w:rsidP="00AE2058">
            <w:pPr>
              <w:spacing w:after="0" w:line="240" w:lineRule="auto"/>
              <w:rPr>
                <w:rFonts w:ascii="Arial" w:hAnsi="Arial" w:cs="Arial"/>
                <w:sz w:val="20"/>
                <w:szCs w:val="20"/>
                <w:lang w:val="es-ES" w:eastAsia="es-ES"/>
              </w:rPr>
            </w:pPr>
            <w:r w:rsidRPr="00AE2058">
              <w:rPr>
                <w:rFonts w:ascii="Arial" w:hAnsi="Arial" w:cs="Arial"/>
                <w:sz w:val="20"/>
                <w:szCs w:val="20"/>
                <w:lang w:eastAsia="es-ES"/>
              </w:rPr>
              <w:t>3. Fortalecer la gestión de infraestructura educativa en todos sus niveles.</w:t>
            </w:r>
          </w:p>
        </w:tc>
        <w:tc>
          <w:tcPr>
            <w:tcW w:w="2360" w:type="dxa"/>
            <w:tcBorders>
              <w:top w:val="nil"/>
              <w:left w:val="nil"/>
              <w:bottom w:val="single" w:sz="4" w:space="0" w:color="auto"/>
              <w:right w:val="single" w:sz="4" w:space="0" w:color="auto"/>
            </w:tcBorders>
            <w:shd w:val="clear" w:color="auto" w:fill="auto"/>
            <w:noWrap/>
            <w:vAlign w:val="center"/>
            <w:hideMark/>
          </w:tcPr>
          <w:p w14:paraId="3945B0A5" w14:textId="77777777" w:rsidR="00AE2058" w:rsidRPr="00AE2058" w:rsidRDefault="00AE2058" w:rsidP="00AE2058">
            <w:pPr>
              <w:spacing w:after="0" w:line="240" w:lineRule="auto"/>
              <w:jc w:val="right"/>
              <w:rPr>
                <w:rFonts w:ascii="Arial" w:hAnsi="Arial" w:cs="Arial"/>
                <w:sz w:val="20"/>
                <w:szCs w:val="20"/>
                <w:lang w:val="es-ES" w:eastAsia="es-ES"/>
              </w:rPr>
            </w:pPr>
            <w:r w:rsidRPr="00AE2058">
              <w:rPr>
                <w:rFonts w:ascii="Arial" w:hAnsi="Arial" w:cs="Arial"/>
                <w:sz w:val="20"/>
                <w:szCs w:val="20"/>
                <w:lang w:val="es-ES" w:eastAsia="es-ES"/>
              </w:rPr>
              <w:t>140</w:t>
            </w:r>
          </w:p>
        </w:tc>
      </w:tr>
      <w:tr w:rsidR="00AE2058" w:rsidRPr="00AE2058" w14:paraId="4186F7CC" w14:textId="77777777" w:rsidTr="00AE2058">
        <w:trPr>
          <w:trHeight w:val="259"/>
          <w:jc w:val="right"/>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14:paraId="45086FD0" w14:textId="77777777" w:rsidR="00AE2058" w:rsidRPr="00AE2058" w:rsidRDefault="00AE2058" w:rsidP="00AE2058">
            <w:pPr>
              <w:spacing w:after="0" w:line="240" w:lineRule="auto"/>
              <w:rPr>
                <w:rFonts w:ascii="Arial" w:hAnsi="Arial" w:cs="Arial"/>
                <w:sz w:val="20"/>
                <w:szCs w:val="20"/>
                <w:lang w:val="es-ES" w:eastAsia="es-ES"/>
              </w:rPr>
            </w:pPr>
            <w:r w:rsidRPr="00AE2058">
              <w:rPr>
                <w:rFonts w:ascii="Arial" w:hAnsi="Arial" w:cs="Arial"/>
                <w:sz w:val="20"/>
                <w:szCs w:val="20"/>
                <w:lang w:eastAsia="es-ES"/>
              </w:rPr>
              <w:t>4. Garantizar la sostenibilidad de la infraestructura educativa.</w:t>
            </w:r>
          </w:p>
        </w:tc>
        <w:tc>
          <w:tcPr>
            <w:tcW w:w="2360" w:type="dxa"/>
            <w:tcBorders>
              <w:top w:val="nil"/>
              <w:left w:val="nil"/>
              <w:bottom w:val="single" w:sz="4" w:space="0" w:color="auto"/>
              <w:right w:val="single" w:sz="4" w:space="0" w:color="auto"/>
            </w:tcBorders>
            <w:shd w:val="clear" w:color="auto" w:fill="auto"/>
            <w:noWrap/>
            <w:vAlign w:val="center"/>
            <w:hideMark/>
          </w:tcPr>
          <w:p w14:paraId="6FB65926" w14:textId="77777777" w:rsidR="00AE2058" w:rsidRPr="00AE2058" w:rsidRDefault="00AE2058" w:rsidP="00AE2058">
            <w:pPr>
              <w:spacing w:after="0" w:line="240" w:lineRule="auto"/>
              <w:jc w:val="right"/>
              <w:rPr>
                <w:rFonts w:ascii="Arial" w:hAnsi="Arial" w:cs="Arial"/>
                <w:sz w:val="20"/>
                <w:szCs w:val="20"/>
                <w:lang w:val="es-ES" w:eastAsia="es-ES"/>
              </w:rPr>
            </w:pPr>
            <w:r w:rsidRPr="00AE2058">
              <w:rPr>
                <w:rFonts w:ascii="Arial" w:hAnsi="Arial" w:cs="Arial"/>
                <w:sz w:val="20"/>
                <w:szCs w:val="20"/>
                <w:lang w:val="es-ES" w:eastAsia="es-ES"/>
              </w:rPr>
              <w:t>6,591</w:t>
            </w:r>
          </w:p>
        </w:tc>
      </w:tr>
      <w:tr w:rsidR="00AE2058" w:rsidRPr="00AE2058" w14:paraId="5C6C55A0" w14:textId="77777777" w:rsidTr="00AE2058">
        <w:trPr>
          <w:trHeight w:val="283"/>
          <w:jc w:val="right"/>
        </w:trPr>
        <w:tc>
          <w:tcPr>
            <w:tcW w:w="5812" w:type="dxa"/>
            <w:tcBorders>
              <w:top w:val="nil"/>
              <w:left w:val="single" w:sz="4" w:space="0" w:color="auto"/>
              <w:bottom w:val="single" w:sz="4" w:space="0" w:color="auto"/>
              <w:right w:val="single" w:sz="4" w:space="0" w:color="auto"/>
            </w:tcBorders>
            <w:shd w:val="clear" w:color="auto" w:fill="auto"/>
            <w:noWrap/>
            <w:vAlign w:val="center"/>
            <w:hideMark/>
          </w:tcPr>
          <w:p w14:paraId="71DD23A6" w14:textId="77777777" w:rsidR="00AE2058" w:rsidRPr="00AE2058" w:rsidRDefault="00AE2058" w:rsidP="00AE2058">
            <w:pPr>
              <w:spacing w:after="0" w:line="240" w:lineRule="auto"/>
              <w:rPr>
                <w:rFonts w:ascii="Arial" w:hAnsi="Arial" w:cs="Arial"/>
                <w:b/>
                <w:bCs/>
                <w:sz w:val="20"/>
                <w:szCs w:val="20"/>
                <w:lang w:val="es-ES" w:eastAsia="es-ES"/>
              </w:rPr>
            </w:pPr>
            <w:r w:rsidRPr="00AE2058">
              <w:rPr>
                <w:rFonts w:ascii="Arial" w:hAnsi="Arial" w:cs="Arial"/>
                <w:b/>
                <w:bCs/>
                <w:sz w:val="20"/>
                <w:szCs w:val="20"/>
                <w:lang w:eastAsia="es-ES"/>
              </w:rPr>
              <w:t>TOTAL</w:t>
            </w:r>
          </w:p>
        </w:tc>
        <w:tc>
          <w:tcPr>
            <w:tcW w:w="2360" w:type="dxa"/>
            <w:tcBorders>
              <w:top w:val="nil"/>
              <w:left w:val="nil"/>
              <w:bottom w:val="single" w:sz="4" w:space="0" w:color="auto"/>
              <w:right w:val="single" w:sz="4" w:space="0" w:color="auto"/>
            </w:tcBorders>
            <w:shd w:val="clear" w:color="auto" w:fill="auto"/>
            <w:noWrap/>
            <w:vAlign w:val="center"/>
            <w:hideMark/>
          </w:tcPr>
          <w:p w14:paraId="4BAD8FA4" w14:textId="77777777" w:rsidR="00AE2058" w:rsidRPr="00AE2058" w:rsidRDefault="00AE2058" w:rsidP="00AE2058">
            <w:pPr>
              <w:spacing w:after="0" w:line="240" w:lineRule="auto"/>
              <w:jc w:val="right"/>
              <w:rPr>
                <w:rFonts w:ascii="Arial" w:hAnsi="Arial" w:cs="Arial"/>
                <w:b/>
                <w:bCs/>
                <w:sz w:val="20"/>
                <w:szCs w:val="20"/>
                <w:lang w:val="es-ES" w:eastAsia="es-ES"/>
              </w:rPr>
            </w:pPr>
            <w:r w:rsidRPr="00AE2058">
              <w:rPr>
                <w:rFonts w:ascii="Arial" w:hAnsi="Arial" w:cs="Arial"/>
                <w:b/>
                <w:bCs/>
                <w:sz w:val="20"/>
                <w:szCs w:val="20"/>
                <w:lang w:val="es-ES" w:eastAsia="es-ES"/>
              </w:rPr>
              <w:t>100,499</w:t>
            </w:r>
          </w:p>
        </w:tc>
      </w:tr>
    </w:tbl>
    <w:p w14:paraId="431DCD2A" w14:textId="77777777" w:rsidR="00AE2058" w:rsidRPr="00AE2058" w:rsidRDefault="00AE2058" w:rsidP="00AE2058">
      <w:pPr>
        <w:tabs>
          <w:tab w:val="center" w:pos="4464"/>
        </w:tabs>
        <w:spacing w:after="120"/>
        <w:ind w:left="425"/>
        <w:jc w:val="both"/>
        <w:rPr>
          <w:rFonts w:ascii="Arial" w:hAnsi="Arial" w:cs="Arial"/>
          <w:sz w:val="20"/>
          <w:szCs w:val="20"/>
        </w:rPr>
      </w:pPr>
      <w:r w:rsidRPr="00AE2058">
        <w:rPr>
          <w:rFonts w:ascii="Arial" w:hAnsi="Arial" w:cs="Arial"/>
          <w:i/>
          <w:iCs/>
          <w:sz w:val="20"/>
          <w:szCs w:val="20"/>
          <w:lang w:val="es-MX"/>
        </w:rPr>
        <w:t>Fuente: Plan Nacional de Infraestructura Educativa al 2025.</w:t>
      </w:r>
    </w:p>
    <w:p w14:paraId="69649581" w14:textId="5B83F63D" w:rsidR="002E06BC" w:rsidRDefault="002E06BC" w:rsidP="002E06BC">
      <w:pPr>
        <w:pStyle w:val="Prrafodelista"/>
        <w:spacing w:before="240" w:after="120" w:line="240" w:lineRule="auto"/>
        <w:ind w:left="357"/>
        <w:contextualSpacing w:val="0"/>
        <w:jc w:val="both"/>
        <w:rPr>
          <w:rFonts w:ascii="Arial" w:hAnsi="Arial" w:cs="Arial"/>
          <w:sz w:val="20"/>
          <w:szCs w:val="20"/>
        </w:rPr>
      </w:pPr>
      <w:r>
        <w:rPr>
          <w:rFonts w:ascii="Arial" w:hAnsi="Arial" w:cs="Arial"/>
          <w:sz w:val="20"/>
          <w:szCs w:val="20"/>
        </w:rPr>
        <w:t>La brecha correspondiente al costo de mantenimiento preventivo de locales educativos existentes está incluida en el cuarto objetivo específico y asciende a S/5,650 millones.</w:t>
      </w:r>
    </w:p>
    <w:p w14:paraId="75736220" w14:textId="2A2BB251" w:rsidR="00AE2058" w:rsidRPr="00AE2058" w:rsidRDefault="00AE2058" w:rsidP="00AE2058">
      <w:pPr>
        <w:pStyle w:val="Prrafodelista"/>
        <w:numPr>
          <w:ilvl w:val="0"/>
          <w:numId w:val="5"/>
        </w:numPr>
        <w:spacing w:before="240" w:after="120" w:line="240" w:lineRule="auto"/>
        <w:ind w:left="357" w:hanging="357"/>
        <w:contextualSpacing w:val="0"/>
        <w:jc w:val="both"/>
        <w:rPr>
          <w:rFonts w:ascii="Arial" w:hAnsi="Arial" w:cs="Arial"/>
          <w:sz w:val="20"/>
          <w:szCs w:val="20"/>
        </w:rPr>
      </w:pPr>
      <w:r w:rsidRPr="00AE2058">
        <w:rPr>
          <w:rFonts w:ascii="Arial" w:hAnsi="Arial" w:cs="Arial"/>
          <w:sz w:val="20"/>
          <w:szCs w:val="20"/>
        </w:rPr>
        <w:t>Luego de la publicación del PNIE, la Dirección de Planificación de Inversiones (DIPLAN) de la Dirección General de Infraestructura Educativa (DIGEIE) del MINEDU ha actualizado continuamente la información del estado de infraestructura educativa de los LL.EE.</w:t>
      </w:r>
      <w:r w:rsidRPr="00AE2058">
        <w:rPr>
          <w:rFonts w:eastAsia="Calibri"/>
          <w:noProof/>
          <w:sz w:val="20"/>
          <w:szCs w:val="20"/>
        </w:rPr>
        <w:t xml:space="preserve"> </w:t>
      </w:r>
    </w:p>
    <w:p w14:paraId="26375CC4" w14:textId="3FD831D2" w:rsidR="00AE2058" w:rsidRDefault="00AE2058" w:rsidP="00AE2058">
      <w:pPr>
        <w:pStyle w:val="Prrafodelista"/>
        <w:spacing w:before="120" w:after="120" w:line="240" w:lineRule="auto"/>
        <w:ind w:left="360"/>
        <w:contextualSpacing w:val="0"/>
        <w:jc w:val="both"/>
        <w:rPr>
          <w:rFonts w:ascii="Arial" w:hAnsi="Arial" w:cs="Arial"/>
          <w:sz w:val="20"/>
          <w:szCs w:val="20"/>
        </w:rPr>
      </w:pPr>
      <w:r>
        <w:rPr>
          <w:rFonts w:ascii="Arial" w:hAnsi="Arial" w:cs="Arial"/>
          <w:sz w:val="20"/>
          <w:szCs w:val="20"/>
        </w:rPr>
        <w:t>En ese sentido</w:t>
      </w:r>
      <w:r w:rsidRPr="00AE2058">
        <w:rPr>
          <w:rFonts w:ascii="Arial" w:hAnsi="Arial" w:cs="Arial"/>
          <w:sz w:val="20"/>
          <w:szCs w:val="20"/>
        </w:rPr>
        <w:t>, la DIPLAN ha actualizado continuamente el cálculo de brecha de infraestructura educativa asociado principalmente al primer objetivo estratégico del PNIE (S/72,747 millones).</w:t>
      </w:r>
      <w:r>
        <w:rPr>
          <w:rFonts w:ascii="Arial" w:hAnsi="Arial" w:cs="Arial"/>
          <w:sz w:val="20"/>
          <w:szCs w:val="20"/>
        </w:rPr>
        <w:t xml:space="preserve"> En esta</w:t>
      </w:r>
      <w:r w:rsidR="00D45F30">
        <w:rPr>
          <w:rFonts w:ascii="Arial" w:hAnsi="Arial" w:cs="Arial"/>
          <w:sz w:val="20"/>
          <w:szCs w:val="20"/>
        </w:rPr>
        <w:t xml:space="preserve"> actualización del</w:t>
      </w:r>
      <w:r>
        <w:rPr>
          <w:rFonts w:ascii="Arial" w:hAnsi="Arial" w:cs="Arial"/>
          <w:sz w:val="20"/>
          <w:szCs w:val="20"/>
        </w:rPr>
        <w:t xml:space="preserve"> cálculo</w:t>
      </w:r>
      <w:r w:rsidR="00D45F30">
        <w:rPr>
          <w:rFonts w:ascii="Arial" w:hAnsi="Arial" w:cs="Arial"/>
          <w:sz w:val="20"/>
          <w:szCs w:val="20"/>
        </w:rPr>
        <w:t>,</w:t>
      </w:r>
      <w:r>
        <w:rPr>
          <w:rFonts w:ascii="Arial" w:hAnsi="Arial" w:cs="Arial"/>
          <w:sz w:val="20"/>
          <w:szCs w:val="20"/>
        </w:rPr>
        <w:t xml:space="preserve"> no se ha incluido </w:t>
      </w:r>
      <w:r w:rsidR="00D45F30">
        <w:rPr>
          <w:rFonts w:ascii="Arial" w:hAnsi="Arial" w:cs="Arial"/>
          <w:sz w:val="20"/>
          <w:szCs w:val="20"/>
        </w:rPr>
        <w:t>la estimación del costo de mantenimiento preventivo de los locales educativos, la cual está contenida en el cuarto objetivo específico del cálculo inicial.</w:t>
      </w:r>
    </w:p>
    <w:p w14:paraId="5327B973" w14:textId="77777777" w:rsidR="00D81E86" w:rsidRDefault="00D81E86" w:rsidP="00AE2058">
      <w:pPr>
        <w:pStyle w:val="Prrafodelista"/>
        <w:spacing w:before="120" w:after="120" w:line="240" w:lineRule="auto"/>
        <w:ind w:left="360"/>
        <w:contextualSpacing w:val="0"/>
        <w:jc w:val="both"/>
        <w:rPr>
          <w:rFonts w:ascii="Arial" w:hAnsi="Arial" w:cs="Arial"/>
          <w:sz w:val="20"/>
          <w:szCs w:val="20"/>
        </w:rPr>
      </w:pPr>
    </w:p>
    <w:p w14:paraId="1ED5F73B" w14:textId="5537E092" w:rsidR="00D45F30" w:rsidRPr="00D45F30" w:rsidRDefault="00D45F30" w:rsidP="00D45F30">
      <w:pPr>
        <w:pStyle w:val="Prrafodelista"/>
        <w:numPr>
          <w:ilvl w:val="0"/>
          <w:numId w:val="5"/>
        </w:numPr>
        <w:spacing w:before="240" w:after="120" w:line="240" w:lineRule="auto"/>
        <w:ind w:left="363" w:hanging="357"/>
        <w:contextualSpacing w:val="0"/>
        <w:jc w:val="both"/>
        <w:rPr>
          <w:rFonts w:ascii="Arial" w:hAnsi="Arial" w:cs="Arial"/>
          <w:sz w:val="20"/>
          <w:szCs w:val="20"/>
        </w:rPr>
      </w:pPr>
      <w:r>
        <w:rPr>
          <w:rFonts w:ascii="Arial" w:hAnsi="Arial" w:cs="Arial"/>
          <w:sz w:val="20"/>
          <w:szCs w:val="20"/>
        </w:rPr>
        <w:lastRenderedPageBreak/>
        <w:t>Con el fin de mejorar la actualización del cálculo de brecha de infraestructura educativa, el presente documento propone una metodología para estimar el costo de mantenimiento preventivo de los locales educativos existentes, a partir del cálculo inicial y los lineamientos establecido</w:t>
      </w:r>
      <w:r w:rsidR="002E06BC">
        <w:rPr>
          <w:rFonts w:ascii="Arial" w:hAnsi="Arial" w:cs="Arial"/>
          <w:sz w:val="20"/>
          <w:szCs w:val="20"/>
        </w:rPr>
        <w:t>s</w:t>
      </w:r>
      <w:r>
        <w:rPr>
          <w:rFonts w:ascii="Arial" w:hAnsi="Arial" w:cs="Arial"/>
          <w:sz w:val="20"/>
          <w:szCs w:val="20"/>
        </w:rPr>
        <w:t xml:space="preserve"> en el PNIE. </w:t>
      </w:r>
    </w:p>
    <w:p w14:paraId="2230678C" w14:textId="739CE538" w:rsidR="00D45F30" w:rsidRPr="009D53F0" w:rsidRDefault="00D45F30" w:rsidP="00D45F30">
      <w:pPr>
        <w:pStyle w:val="Prrafodelista"/>
        <w:numPr>
          <w:ilvl w:val="0"/>
          <w:numId w:val="4"/>
        </w:numPr>
        <w:spacing w:before="360" w:after="240" w:line="240" w:lineRule="auto"/>
        <w:ind w:left="357" w:hanging="357"/>
        <w:contextualSpacing w:val="0"/>
        <w:jc w:val="both"/>
        <w:rPr>
          <w:rFonts w:ascii="Arial" w:hAnsi="Arial" w:cs="Arial"/>
          <w:b/>
          <w:sz w:val="20"/>
          <w:szCs w:val="20"/>
        </w:rPr>
      </w:pPr>
      <w:r>
        <w:rPr>
          <w:rFonts w:ascii="Arial" w:hAnsi="Arial" w:cs="Arial"/>
          <w:b/>
          <w:sz w:val="20"/>
          <w:szCs w:val="20"/>
        </w:rPr>
        <w:t>Propuesta de metodología</w:t>
      </w:r>
    </w:p>
    <w:p w14:paraId="36012660" w14:textId="339A89CB" w:rsidR="00D45F30" w:rsidRDefault="00D45F30" w:rsidP="00D45F30">
      <w:pPr>
        <w:pStyle w:val="Prrafodelista"/>
        <w:numPr>
          <w:ilvl w:val="0"/>
          <w:numId w:val="14"/>
        </w:numPr>
        <w:spacing w:before="240" w:after="120" w:line="240" w:lineRule="auto"/>
        <w:contextualSpacing w:val="0"/>
        <w:jc w:val="both"/>
        <w:rPr>
          <w:rFonts w:ascii="Arial" w:hAnsi="Arial" w:cs="Arial"/>
          <w:sz w:val="20"/>
          <w:szCs w:val="20"/>
        </w:rPr>
      </w:pPr>
      <w:r>
        <w:rPr>
          <w:rFonts w:ascii="Arial" w:hAnsi="Arial" w:cs="Arial"/>
          <w:sz w:val="20"/>
          <w:szCs w:val="20"/>
        </w:rPr>
        <w:t>Según lo establecido en el PNIE, el cálculo de</w:t>
      </w:r>
      <w:r w:rsidRPr="00D45F30">
        <w:rPr>
          <w:rFonts w:ascii="Arial" w:hAnsi="Arial" w:cs="Arial"/>
          <w:sz w:val="20"/>
          <w:szCs w:val="20"/>
        </w:rPr>
        <w:t xml:space="preserve"> brecha </w:t>
      </w:r>
      <w:r w:rsidR="002E06BC">
        <w:rPr>
          <w:rFonts w:ascii="Arial" w:hAnsi="Arial" w:cs="Arial"/>
          <w:sz w:val="20"/>
          <w:szCs w:val="20"/>
        </w:rPr>
        <w:t xml:space="preserve">de mantenimiento preventivo </w:t>
      </w:r>
      <w:r w:rsidRPr="00D45F30">
        <w:rPr>
          <w:rFonts w:ascii="Arial" w:hAnsi="Arial" w:cs="Arial"/>
          <w:sz w:val="20"/>
          <w:szCs w:val="20"/>
        </w:rPr>
        <w:t>es el costo de realizar actividades de mantenimiento preventiv</w:t>
      </w:r>
      <w:r w:rsidR="002E06BC">
        <w:rPr>
          <w:rFonts w:ascii="Arial" w:hAnsi="Arial" w:cs="Arial"/>
          <w:sz w:val="20"/>
          <w:szCs w:val="20"/>
        </w:rPr>
        <w:t>o en locales educativos existentes. El PNIE establece que este costo</w:t>
      </w:r>
      <w:r w:rsidRPr="00D45F30">
        <w:rPr>
          <w:rFonts w:ascii="Arial" w:hAnsi="Arial" w:cs="Arial"/>
          <w:sz w:val="20"/>
          <w:szCs w:val="20"/>
        </w:rPr>
        <w:t xml:space="preserve"> se estimó a partir de la revisión de expedientes y referencias internacionales, el cual se fijó en 1% del valor anual de los activos, sin considerar la depreciación de activos.</w:t>
      </w:r>
    </w:p>
    <w:p w14:paraId="36C802DB" w14:textId="55A80744" w:rsidR="002E06BC" w:rsidRPr="00AE2058" w:rsidRDefault="002E06BC" w:rsidP="002E06BC">
      <w:pPr>
        <w:pStyle w:val="Prrafodelista"/>
        <w:spacing w:before="120" w:after="120" w:line="240" w:lineRule="auto"/>
        <w:ind w:left="357"/>
        <w:contextualSpacing w:val="0"/>
        <w:jc w:val="both"/>
        <w:rPr>
          <w:rFonts w:ascii="Arial" w:hAnsi="Arial" w:cs="Arial"/>
          <w:sz w:val="20"/>
          <w:szCs w:val="20"/>
        </w:rPr>
      </w:pPr>
      <w:r>
        <w:rPr>
          <w:rFonts w:ascii="Arial" w:hAnsi="Arial" w:cs="Arial"/>
          <w:sz w:val="20"/>
          <w:szCs w:val="20"/>
        </w:rPr>
        <w:t>Debido a la falta de un detalle, adicional a lo mencionado, de la estimación del costo de mantenimiento preventivo, se propone aplicar la siguiente metodología a la información del CIE 2013 con el fin de obtener un resultado similar a lo establecido en el PNIE.</w:t>
      </w:r>
    </w:p>
    <w:p w14:paraId="1CD92799" w14:textId="301E1B4D" w:rsidR="002E06BC" w:rsidRPr="00AE2058" w:rsidRDefault="002E06BC" w:rsidP="00E85872">
      <w:pPr>
        <w:pStyle w:val="Prrafodelista"/>
        <w:numPr>
          <w:ilvl w:val="0"/>
          <w:numId w:val="14"/>
        </w:numPr>
        <w:spacing w:before="240" w:after="120" w:line="240" w:lineRule="auto"/>
        <w:ind w:left="357" w:hanging="357"/>
        <w:contextualSpacing w:val="0"/>
        <w:jc w:val="both"/>
        <w:rPr>
          <w:rFonts w:ascii="Arial" w:hAnsi="Arial" w:cs="Arial"/>
          <w:sz w:val="20"/>
          <w:szCs w:val="20"/>
        </w:rPr>
      </w:pPr>
      <w:r>
        <w:rPr>
          <w:rFonts w:ascii="Arial" w:hAnsi="Arial" w:cs="Arial"/>
          <w:sz w:val="20"/>
          <w:szCs w:val="20"/>
        </w:rPr>
        <w:t>A partir de lo mencionado, se propone aproximar el valor de los activos a partir de</w:t>
      </w:r>
      <w:r w:rsidR="00E85872">
        <w:rPr>
          <w:rFonts w:ascii="Arial" w:hAnsi="Arial" w:cs="Arial"/>
          <w:sz w:val="20"/>
          <w:szCs w:val="20"/>
        </w:rPr>
        <w:t xml:space="preserve"> las áreas techadas de los locales educativos y e</w:t>
      </w:r>
      <w:r>
        <w:rPr>
          <w:rFonts w:ascii="Arial" w:hAnsi="Arial" w:cs="Arial"/>
          <w:sz w:val="20"/>
          <w:szCs w:val="20"/>
        </w:rPr>
        <w:t>l costo unitario de área techada y obras exteriores usado en el PNIE</w:t>
      </w:r>
      <w:r w:rsidR="00E85872">
        <w:rPr>
          <w:rFonts w:ascii="Arial" w:hAnsi="Arial" w:cs="Arial"/>
          <w:sz w:val="20"/>
          <w:szCs w:val="20"/>
        </w:rPr>
        <w:t>, considerando únicamente el escenario de Grandes Ciudades y clima Desértico Costero. Se establece este supuesto debido a que los incrementos de costos en los otros escenarios y climas se originan, principalmente, debido al costo de transporte de materiales y mano de obra.</w:t>
      </w:r>
    </w:p>
    <w:p w14:paraId="2F3B5FD3" w14:textId="0E5DBB03" w:rsidR="00E85872" w:rsidRDefault="00E85872" w:rsidP="00E85872">
      <w:pPr>
        <w:pStyle w:val="Prrafodelista"/>
        <w:spacing w:before="120" w:after="120" w:line="240" w:lineRule="auto"/>
        <w:ind w:left="360"/>
        <w:contextualSpacing w:val="0"/>
        <w:jc w:val="both"/>
        <w:rPr>
          <w:rFonts w:ascii="Arial" w:hAnsi="Arial" w:cs="Arial"/>
          <w:sz w:val="20"/>
          <w:szCs w:val="20"/>
        </w:rPr>
      </w:pPr>
      <w:r>
        <w:rPr>
          <w:rFonts w:ascii="Arial" w:hAnsi="Arial" w:cs="Arial"/>
          <w:sz w:val="20"/>
          <w:szCs w:val="20"/>
        </w:rPr>
        <w:t>Por lo tanto, para obtener el valor de los activos de un local educativo, se propone usar lo siguiente:</w:t>
      </w:r>
    </w:p>
    <w:p w14:paraId="5E7C3C9F" w14:textId="4F48FFAE" w:rsidR="00E85872" w:rsidRPr="00670AFB" w:rsidRDefault="00344E4C" w:rsidP="00E85872">
      <w:pPr>
        <w:pStyle w:val="Prrafodelista"/>
        <w:spacing w:before="120" w:after="120" w:line="240" w:lineRule="auto"/>
        <w:ind w:left="360"/>
        <w:contextualSpacing w:val="0"/>
        <w:jc w:val="both"/>
        <w:rPr>
          <w:rFonts w:ascii="Arial" w:hAnsi="Arial" w:cs="Arial"/>
          <w:i/>
          <w:iCs/>
          <w:sz w:val="20"/>
          <w:szCs w:val="20"/>
        </w:rPr>
      </w:pPr>
      <m:oMathPara>
        <m:oMath>
          <m:r>
            <w:rPr>
              <w:rFonts w:ascii="Cambria Math" w:hAnsi="Cambria Math" w:cs="Arial"/>
              <w:sz w:val="20"/>
              <w:szCs w:val="20"/>
            </w:rPr>
            <m:t xml:space="preserve">Valor Activo = AT x CU_ATyOE x FCR x </m:t>
          </m:r>
          <m:r>
            <w:rPr>
              <w:rFonts w:ascii="Cambria Math" w:eastAsia="Calibri" w:hAnsi="Cambria Math" w:cs="Arial"/>
              <w:sz w:val="20"/>
              <w:szCs w:val="20"/>
            </w:rPr>
            <m:t>FSC x FGGU x FIGV</m:t>
          </m:r>
        </m:oMath>
      </m:oMathPara>
    </w:p>
    <w:p w14:paraId="4CEC5973" w14:textId="233CD28B" w:rsidR="00D45F30" w:rsidRDefault="0017171B" w:rsidP="00344E4C">
      <w:pPr>
        <w:pStyle w:val="Prrafodelista"/>
        <w:numPr>
          <w:ilvl w:val="0"/>
          <w:numId w:val="16"/>
        </w:numPr>
        <w:spacing w:before="120" w:after="120" w:line="240" w:lineRule="auto"/>
        <w:contextualSpacing w:val="0"/>
        <w:jc w:val="both"/>
        <w:rPr>
          <w:rFonts w:ascii="Arial" w:hAnsi="Arial" w:cs="Arial"/>
          <w:sz w:val="20"/>
          <w:szCs w:val="20"/>
        </w:rPr>
      </w:pPr>
      <w:r>
        <w:rPr>
          <w:rFonts w:ascii="Arial" w:hAnsi="Arial" w:cs="Arial"/>
          <w:i/>
          <w:iCs/>
          <w:sz w:val="20"/>
          <w:szCs w:val="20"/>
        </w:rPr>
        <w:t xml:space="preserve">AT: </w:t>
      </w:r>
      <w:r>
        <w:rPr>
          <w:rFonts w:ascii="Arial" w:hAnsi="Arial" w:cs="Arial"/>
          <w:sz w:val="20"/>
          <w:szCs w:val="20"/>
        </w:rPr>
        <w:t>Área techada del local educativo.</w:t>
      </w:r>
    </w:p>
    <w:p w14:paraId="34AFFB87" w14:textId="34113971" w:rsidR="0017171B" w:rsidRDefault="0017171B" w:rsidP="00344E4C">
      <w:pPr>
        <w:pStyle w:val="Prrafodelista"/>
        <w:numPr>
          <w:ilvl w:val="0"/>
          <w:numId w:val="16"/>
        </w:numPr>
        <w:spacing w:before="120" w:after="120" w:line="240" w:lineRule="auto"/>
        <w:contextualSpacing w:val="0"/>
        <w:jc w:val="both"/>
        <w:rPr>
          <w:rFonts w:ascii="Arial" w:hAnsi="Arial" w:cs="Arial"/>
          <w:sz w:val="20"/>
          <w:szCs w:val="20"/>
        </w:rPr>
      </w:pPr>
      <w:proofErr w:type="spellStart"/>
      <w:r>
        <w:rPr>
          <w:rFonts w:ascii="Arial" w:hAnsi="Arial" w:cs="Arial"/>
          <w:i/>
          <w:iCs/>
          <w:sz w:val="20"/>
          <w:szCs w:val="20"/>
        </w:rPr>
        <w:t>CU_ATyOE</w:t>
      </w:r>
      <w:proofErr w:type="spellEnd"/>
      <w:r>
        <w:rPr>
          <w:rFonts w:ascii="Arial" w:hAnsi="Arial" w:cs="Arial"/>
          <w:i/>
          <w:iCs/>
          <w:sz w:val="20"/>
          <w:szCs w:val="20"/>
        </w:rPr>
        <w:t>:</w:t>
      </w:r>
      <w:r>
        <w:rPr>
          <w:rFonts w:ascii="Arial" w:hAnsi="Arial" w:cs="Arial"/>
          <w:sz w:val="20"/>
          <w:szCs w:val="20"/>
        </w:rPr>
        <w:t xml:space="preserve"> Costo unitario de área techada y obras exteriores.</w:t>
      </w:r>
    </w:p>
    <w:p w14:paraId="7BF5D76B" w14:textId="70FEB083" w:rsidR="0017171B" w:rsidRDefault="0017171B" w:rsidP="00344E4C">
      <w:pPr>
        <w:pStyle w:val="Prrafodelista"/>
        <w:numPr>
          <w:ilvl w:val="0"/>
          <w:numId w:val="16"/>
        </w:numPr>
        <w:spacing w:before="120" w:after="120" w:line="240" w:lineRule="auto"/>
        <w:contextualSpacing w:val="0"/>
        <w:jc w:val="both"/>
        <w:rPr>
          <w:rFonts w:ascii="Arial" w:hAnsi="Arial" w:cs="Arial"/>
          <w:sz w:val="20"/>
          <w:szCs w:val="20"/>
        </w:rPr>
      </w:pPr>
      <w:r>
        <w:rPr>
          <w:rFonts w:ascii="Arial" w:hAnsi="Arial" w:cs="Arial"/>
          <w:i/>
          <w:iCs/>
          <w:sz w:val="20"/>
          <w:szCs w:val="20"/>
        </w:rPr>
        <w:t>FCR:</w:t>
      </w:r>
      <w:r>
        <w:rPr>
          <w:rFonts w:ascii="Arial" w:hAnsi="Arial" w:cs="Arial"/>
          <w:sz w:val="20"/>
          <w:szCs w:val="20"/>
        </w:rPr>
        <w:t xml:space="preserve"> </w:t>
      </w:r>
      <w:r w:rsidRPr="0017171B">
        <w:rPr>
          <w:rFonts w:ascii="Arial" w:hAnsi="Arial" w:cs="Arial"/>
          <w:sz w:val="20"/>
          <w:szCs w:val="20"/>
        </w:rPr>
        <w:t>Factor que reduce el costo para no considerar cercos perimétricos en la zona rural</w:t>
      </w:r>
      <w:r>
        <w:rPr>
          <w:rFonts w:ascii="Arial" w:hAnsi="Arial" w:cs="Arial"/>
          <w:sz w:val="20"/>
          <w:szCs w:val="20"/>
        </w:rPr>
        <w:t>. Equivale a 1 si el local educativo está ubicado en zona urbana y 0.94 si está ubicado en zona rural.</w:t>
      </w:r>
    </w:p>
    <w:p w14:paraId="28E5A7D2" w14:textId="77777777" w:rsidR="0017171B" w:rsidRDefault="0017171B" w:rsidP="00344E4C">
      <w:pPr>
        <w:pStyle w:val="Prrafodelista"/>
        <w:numPr>
          <w:ilvl w:val="0"/>
          <w:numId w:val="16"/>
        </w:numPr>
        <w:spacing w:before="120" w:after="120" w:line="240" w:lineRule="auto"/>
        <w:contextualSpacing w:val="0"/>
        <w:jc w:val="both"/>
        <w:rPr>
          <w:rFonts w:ascii="Arial" w:hAnsi="Arial" w:cs="Arial"/>
          <w:sz w:val="20"/>
          <w:szCs w:val="20"/>
        </w:rPr>
      </w:pPr>
      <w:r>
        <w:rPr>
          <w:rFonts w:ascii="Arial" w:hAnsi="Arial" w:cs="Arial"/>
          <w:i/>
          <w:iCs/>
          <w:sz w:val="20"/>
          <w:szCs w:val="20"/>
        </w:rPr>
        <w:t xml:space="preserve">FSC: </w:t>
      </w:r>
      <w:r>
        <w:rPr>
          <w:rFonts w:ascii="Arial" w:hAnsi="Arial" w:cs="Arial"/>
          <w:sz w:val="20"/>
          <w:szCs w:val="20"/>
        </w:rPr>
        <w:t>Factor que incluye supervisión y contingencia. Equivale a 1.05.</w:t>
      </w:r>
    </w:p>
    <w:p w14:paraId="05A38588" w14:textId="77777777" w:rsidR="0017171B" w:rsidRDefault="0017171B" w:rsidP="00344E4C">
      <w:pPr>
        <w:pStyle w:val="Prrafodelista"/>
        <w:numPr>
          <w:ilvl w:val="0"/>
          <w:numId w:val="16"/>
        </w:numPr>
        <w:spacing w:before="120" w:after="120" w:line="240" w:lineRule="auto"/>
        <w:contextualSpacing w:val="0"/>
        <w:jc w:val="both"/>
        <w:rPr>
          <w:rFonts w:ascii="Arial" w:hAnsi="Arial" w:cs="Arial"/>
          <w:sz w:val="20"/>
          <w:szCs w:val="20"/>
        </w:rPr>
      </w:pPr>
      <w:r>
        <w:rPr>
          <w:rFonts w:ascii="Arial" w:hAnsi="Arial" w:cs="Arial"/>
          <w:i/>
          <w:iCs/>
          <w:sz w:val="20"/>
          <w:szCs w:val="20"/>
        </w:rPr>
        <w:t xml:space="preserve">FGGU: </w:t>
      </w:r>
      <w:r>
        <w:rPr>
          <w:rFonts w:ascii="Arial" w:hAnsi="Arial" w:cs="Arial"/>
          <w:sz w:val="20"/>
          <w:szCs w:val="20"/>
        </w:rPr>
        <w:t>Factor que incluye gastos generales y utilidad. Equivale a 1.20.</w:t>
      </w:r>
    </w:p>
    <w:p w14:paraId="3B5AF356" w14:textId="5E8B12A0" w:rsidR="002E06BC" w:rsidRDefault="0017171B" w:rsidP="00344E4C">
      <w:pPr>
        <w:pStyle w:val="Prrafodelista"/>
        <w:numPr>
          <w:ilvl w:val="0"/>
          <w:numId w:val="16"/>
        </w:numPr>
        <w:spacing w:before="120" w:after="120" w:line="240" w:lineRule="auto"/>
        <w:contextualSpacing w:val="0"/>
        <w:jc w:val="both"/>
        <w:rPr>
          <w:rFonts w:ascii="Arial" w:hAnsi="Arial" w:cs="Arial"/>
          <w:sz w:val="20"/>
          <w:szCs w:val="20"/>
        </w:rPr>
      </w:pPr>
      <w:r>
        <w:rPr>
          <w:rFonts w:ascii="Arial" w:hAnsi="Arial" w:cs="Arial"/>
          <w:i/>
          <w:iCs/>
          <w:sz w:val="20"/>
          <w:szCs w:val="20"/>
        </w:rPr>
        <w:t xml:space="preserve">FIGV: </w:t>
      </w:r>
      <w:r>
        <w:rPr>
          <w:rFonts w:ascii="Arial" w:hAnsi="Arial" w:cs="Arial"/>
          <w:sz w:val="20"/>
          <w:szCs w:val="20"/>
        </w:rPr>
        <w:t>Factor que incluye el IGV. Equivale a 1.18.</w:t>
      </w:r>
    </w:p>
    <w:p w14:paraId="724F77A8" w14:textId="496356DE" w:rsidR="0017171B" w:rsidRDefault="0017171B" w:rsidP="0017171B">
      <w:pPr>
        <w:pStyle w:val="Prrafodelista"/>
        <w:numPr>
          <w:ilvl w:val="0"/>
          <w:numId w:val="14"/>
        </w:numPr>
        <w:spacing w:before="240" w:after="120" w:line="240" w:lineRule="auto"/>
        <w:contextualSpacing w:val="0"/>
        <w:jc w:val="both"/>
        <w:rPr>
          <w:rFonts w:ascii="Arial" w:hAnsi="Arial" w:cs="Arial"/>
          <w:sz w:val="20"/>
          <w:szCs w:val="20"/>
        </w:rPr>
      </w:pPr>
      <w:r>
        <w:rPr>
          <w:rFonts w:ascii="Arial" w:hAnsi="Arial" w:cs="Arial"/>
          <w:sz w:val="20"/>
          <w:szCs w:val="20"/>
        </w:rPr>
        <w:t>A partir de la estimación del valor de los activos, se obtiene la estimación del costo de mantenimiento preventivo anual del local educativo a partir de lo siguiente:</w:t>
      </w:r>
    </w:p>
    <w:p w14:paraId="7E32614D" w14:textId="6281F395" w:rsidR="0017171B" w:rsidRPr="0017171B" w:rsidRDefault="0017171B" w:rsidP="0017171B">
      <w:pPr>
        <w:pStyle w:val="Prrafodelista"/>
        <w:spacing w:before="120" w:after="120" w:line="240" w:lineRule="auto"/>
        <w:ind w:left="360"/>
        <w:contextualSpacing w:val="0"/>
        <w:jc w:val="center"/>
        <w:rPr>
          <w:rFonts w:ascii="Arial" w:hAnsi="Arial" w:cs="Arial"/>
          <w:i/>
          <w:iCs/>
          <w:sz w:val="20"/>
          <w:szCs w:val="20"/>
        </w:rPr>
      </w:pPr>
      <w:r w:rsidRPr="0017171B">
        <w:rPr>
          <w:rFonts w:ascii="Arial" w:hAnsi="Arial" w:cs="Arial"/>
          <w:i/>
          <w:iCs/>
          <w:sz w:val="20"/>
          <w:szCs w:val="20"/>
        </w:rPr>
        <w:t xml:space="preserve">Costo(MP) = Valor Activo x </w:t>
      </w:r>
      <w:r>
        <w:rPr>
          <w:rFonts w:ascii="Arial" w:hAnsi="Arial" w:cs="Arial"/>
          <w:i/>
          <w:iCs/>
          <w:sz w:val="20"/>
          <w:szCs w:val="20"/>
        </w:rPr>
        <w:t>1%</w:t>
      </w:r>
    </w:p>
    <w:p w14:paraId="49408FC9" w14:textId="701DEF25" w:rsidR="0017171B" w:rsidRDefault="0017171B" w:rsidP="0017171B">
      <w:pPr>
        <w:pStyle w:val="Prrafodelista"/>
        <w:numPr>
          <w:ilvl w:val="0"/>
          <w:numId w:val="14"/>
        </w:numPr>
        <w:spacing w:before="240" w:after="120" w:line="240" w:lineRule="auto"/>
        <w:contextualSpacing w:val="0"/>
        <w:jc w:val="both"/>
        <w:rPr>
          <w:rFonts w:ascii="Arial" w:hAnsi="Arial" w:cs="Arial"/>
          <w:sz w:val="20"/>
          <w:szCs w:val="20"/>
        </w:rPr>
      </w:pPr>
      <w:r>
        <w:rPr>
          <w:rFonts w:ascii="Arial" w:hAnsi="Arial" w:cs="Arial"/>
          <w:sz w:val="20"/>
          <w:szCs w:val="20"/>
        </w:rPr>
        <w:t>Al aplicar esta metodología a la información del CIE 2013, con los costos unitarios usados en el cálculo de brecha de infraestructura educativa del PNIE, se obtiene un costo de mantenimiento preventivo anual igual a S/</w:t>
      </w:r>
      <w:r w:rsidRPr="0017171B">
        <w:t xml:space="preserve"> </w:t>
      </w:r>
      <w:r w:rsidRPr="0017171B">
        <w:rPr>
          <w:rFonts w:ascii="Arial" w:hAnsi="Arial" w:cs="Arial"/>
          <w:sz w:val="20"/>
          <w:szCs w:val="20"/>
        </w:rPr>
        <w:t>58</w:t>
      </w:r>
      <w:r w:rsidR="00D81E86">
        <w:rPr>
          <w:rFonts w:ascii="Arial" w:hAnsi="Arial" w:cs="Arial"/>
          <w:sz w:val="20"/>
          <w:szCs w:val="20"/>
        </w:rPr>
        <w:t>9</w:t>
      </w:r>
      <w:r>
        <w:rPr>
          <w:rFonts w:ascii="Arial" w:hAnsi="Arial" w:cs="Arial"/>
          <w:sz w:val="20"/>
          <w:szCs w:val="20"/>
        </w:rPr>
        <w:t xml:space="preserve"> millones</w:t>
      </w:r>
      <w:r w:rsidR="00D81E86">
        <w:rPr>
          <w:rFonts w:ascii="Arial" w:hAnsi="Arial" w:cs="Arial"/>
          <w:sz w:val="20"/>
          <w:szCs w:val="20"/>
        </w:rPr>
        <w:t xml:space="preserve"> </w:t>
      </w:r>
      <w:r w:rsidR="00D81E86" w:rsidRPr="00D81E86">
        <w:rPr>
          <w:rFonts w:ascii="Arial" w:hAnsi="Arial" w:cs="Arial"/>
          <w:sz w:val="20"/>
          <w:szCs w:val="20"/>
        </w:rPr>
        <w:t>para</w:t>
      </w:r>
      <w:r w:rsidR="00D81E86">
        <w:rPr>
          <w:rFonts w:ascii="Arial" w:hAnsi="Arial" w:cs="Arial"/>
          <w:sz w:val="20"/>
          <w:szCs w:val="20"/>
        </w:rPr>
        <w:t xml:space="preserve"> los 40,475 locales educativos con información de infraestructura educativa. Esto incluye</w:t>
      </w:r>
      <w:r w:rsidR="00D81E86" w:rsidRPr="00D81E86">
        <w:rPr>
          <w:rFonts w:ascii="Arial" w:hAnsi="Arial" w:cs="Arial"/>
          <w:sz w:val="20"/>
          <w:szCs w:val="20"/>
        </w:rPr>
        <w:t xml:space="preserve"> </w:t>
      </w:r>
      <w:r w:rsidR="00D81E86">
        <w:rPr>
          <w:rFonts w:ascii="Arial" w:hAnsi="Arial" w:cs="Arial"/>
          <w:sz w:val="20"/>
          <w:szCs w:val="20"/>
        </w:rPr>
        <w:t>11,103,206 metros cuadrados de área techada de locales educativos en zona rural y 14,123,793 metros cuadrados de área techada de locales educativos en zona urbana.</w:t>
      </w:r>
      <w:r>
        <w:rPr>
          <w:rFonts w:ascii="Arial" w:hAnsi="Arial" w:cs="Arial"/>
          <w:sz w:val="20"/>
          <w:szCs w:val="20"/>
        </w:rPr>
        <w:t xml:space="preserve"> Debido a que el estimado del PNIE incluye 10 años</w:t>
      </w:r>
      <w:r w:rsidR="00D81E86">
        <w:rPr>
          <w:rFonts w:ascii="Arial" w:hAnsi="Arial" w:cs="Arial"/>
          <w:sz w:val="20"/>
          <w:szCs w:val="20"/>
        </w:rPr>
        <w:t>, de 2016 a 2025, la estimación del costo asciende a S/5,888 millones, el cual se acerca a lo estimado en el cálculo inicial (S/5,650 millones).</w:t>
      </w:r>
    </w:p>
    <w:p w14:paraId="0B63BF79" w14:textId="2CBC6FD5" w:rsidR="00D81E86" w:rsidRPr="00D81E86" w:rsidRDefault="00D81E86" w:rsidP="009108D5">
      <w:pPr>
        <w:pStyle w:val="Prrafodelista"/>
        <w:numPr>
          <w:ilvl w:val="0"/>
          <w:numId w:val="14"/>
        </w:numPr>
        <w:spacing w:before="240" w:after="120" w:line="240" w:lineRule="auto"/>
        <w:contextualSpacing w:val="0"/>
        <w:jc w:val="both"/>
        <w:rPr>
          <w:rFonts w:ascii="Arial" w:hAnsi="Arial" w:cs="Arial"/>
          <w:sz w:val="20"/>
          <w:szCs w:val="20"/>
        </w:rPr>
      </w:pPr>
      <w:r w:rsidRPr="00D81E86">
        <w:rPr>
          <w:rFonts w:ascii="Arial" w:hAnsi="Arial" w:cs="Arial"/>
          <w:sz w:val="20"/>
          <w:szCs w:val="20"/>
        </w:rPr>
        <w:t>Finalmente, al aplicar esta metodología a la información actual, usada en la actualización del cálculo de brecha de infraestructura educativa existente de diciembre de 2024, la estimación de costo de mantenimiento preventivo anual asciende a S/</w:t>
      </w:r>
      <w:r w:rsidRPr="00D81E86">
        <w:t xml:space="preserve"> </w:t>
      </w:r>
      <w:r w:rsidRPr="00D81E86">
        <w:rPr>
          <w:rFonts w:ascii="Arial" w:hAnsi="Arial" w:cs="Arial"/>
          <w:sz w:val="20"/>
          <w:szCs w:val="20"/>
        </w:rPr>
        <w:t xml:space="preserve">1,671 millones para 55,296 locales educativos con información de infraestructura educativa. Esto incluye 19,737,404 metros cuadrados de área techada de locales educativos en zona rural y 16,601,885 metros cuadrados de área techada de locales educativos en zona urbana. </w:t>
      </w:r>
    </w:p>
    <w:sectPr w:rsidR="00D81E86" w:rsidRPr="00D81E86" w:rsidSect="00CD719C">
      <w:footerReference w:type="default" r:id="rId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3DB20" w14:textId="77777777" w:rsidR="00CA2C89" w:rsidRDefault="00CA2C89" w:rsidP="009D53F0">
      <w:pPr>
        <w:spacing w:after="0" w:line="240" w:lineRule="auto"/>
      </w:pPr>
      <w:r>
        <w:separator/>
      </w:r>
    </w:p>
  </w:endnote>
  <w:endnote w:type="continuationSeparator" w:id="0">
    <w:p w14:paraId="4EC4CC40" w14:textId="77777777" w:rsidR="00CA2C89" w:rsidRDefault="00CA2C89" w:rsidP="009D53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265341"/>
      <w:docPartObj>
        <w:docPartGallery w:val="Page Numbers (Bottom of Page)"/>
        <w:docPartUnique/>
      </w:docPartObj>
    </w:sdtPr>
    <w:sdtEndPr>
      <w:rPr>
        <w:rFonts w:ascii="Arial" w:hAnsi="Arial" w:cs="Arial"/>
        <w:noProof/>
        <w:sz w:val="20"/>
        <w:szCs w:val="20"/>
      </w:rPr>
    </w:sdtEndPr>
    <w:sdtContent>
      <w:p w14:paraId="6FD853A5" w14:textId="66944FF0" w:rsidR="008C7559" w:rsidRPr="008C7559" w:rsidRDefault="008C7559">
        <w:pPr>
          <w:pStyle w:val="Piedepgina"/>
          <w:jc w:val="right"/>
          <w:rPr>
            <w:rFonts w:ascii="Arial" w:hAnsi="Arial" w:cs="Arial"/>
            <w:sz w:val="20"/>
            <w:szCs w:val="20"/>
          </w:rPr>
        </w:pPr>
        <w:r w:rsidRPr="008C7559">
          <w:rPr>
            <w:rFonts w:ascii="Arial" w:hAnsi="Arial" w:cs="Arial"/>
            <w:sz w:val="20"/>
            <w:szCs w:val="20"/>
          </w:rPr>
          <w:fldChar w:fldCharType="begin"/>
        </w:r>
        <w:r w:rsidRPr="008C7559">
          <w:rPr>
            <w:rFonts w:ascii="Arial" w:hAnsi="Arial" w:cs="Arial"/>
            <w:sz w:val="20"/>
            <w:szCs w:val="20"/>
          </w:rPr>
          <w:instrText xml:space="preserve"> PAGE   \* MERGEFORMAT </w:instrText>
        </w:r>
        <w:r w:rsidRPr="008C7559">
          <w:rPr>
            <w:rFonts w:ascii="Arial" w:hAnsi="Arial" w:cs="Arial"/>
            <w:sz w:val="20"/>
            <w:szCs w:val="20"/>
          </w:rPr>
          <w:fldChar w:fldCharType="separate"/>
        </w:r>
        <w:r w:rsidR="00685001">
          <w:rPr>
            <w:rFonts w:ascii="Arial" w:hAnsi="Arial" w:cs="Arial"/>
            <w:noProof/>
            <w:sz w:val="20"/>
            <w:szCs w:val="20"/>
          </w:rPr>
          <w:t>4</w:t>
        </w:r>
        <w:r w:rsidRPr="008C7559">
          <w:rPr>
            <w:rFonts w:ascii="Arial" w:hAnsi="Arial" w:cs="Arial"/>
            <w:noProof/>
            <w:sz w:val="20"/>
            <w:szCs w:val="20"/>
          </w:rPr>
          <w:fldChar w:fldCharType="end"/>
        </w:r>
      </w:p>
    </w:sdtContent>
  </w:sdt>
  <w:p w14:paraId="0F89D38C" w14:textId="77777777" w:rsidR="008C7559" w:rsidRDefault="008C7559" w:rsidP="008C7559">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519C8" w14:textId="77777777" w:rsidR="00CA2C89" w:rsidRDefault="00CA2C89" w:rsidP="009D53F0">
      <w:pPr>
        <w:spacing w:after="0" w:line="240" w:lineRule="auto"/>
      </w:pPr>
      <w:r>
        <w:separator/>
      </w:r>
    </w:p>
  </w:footnote>
  <w:footnote w:type="continuationSeparator" w:id="0">
    <w:p w14:paraId="45CF994C" w14:textId="77777777" w:rsidR="00CA2C89" w:rsidRDefault="00CA2C89" w:rsidP="009D53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4957"/>
    <w:multiLevelType w:val="hybridMultilevel"/>
    <w:tmpl w:val="AC46AA8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B0872D2"/>
    <w:multiLevelType w:val="hybridMultilevel"/>
    <w:tmpl w:val="5ABC44B0"/>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42757BD"/>
    <w:multiLevelType w:val="hybridMultilevel"/>
    <w:tmpl w:val="AE0A5B06"/>
    <w:lvl w:ilvl="0" w:tplc="FFFFFFFF">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B285C5B"/>
    <w:multiLevelType w:val="hybridMultilevel"/>
    <w:tmpl w:val="79FAD960"/>
    <w:lvl w:ilvl="0" w:tplc="F75E88E0">
      <w:start w:val="1"/>
      <w:numFmt w:val="upperRoman"/>
      <w:lvlText w:val="%1."/>
      <w:lvlJc w:val="left"/>
      <w:pPr>
        <w:ind w:left="720" w:hanging="72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2F541A50"/>
    <w:multiLevelType w:val="hybridMultilevel"/>
    <w:tmpl w:val="3900151C"/>
    <w:lvl w:ilvl="0" w:tplc="3B34A4C0">
      <w:start w:val="1"/>
      <w:numFmt w:val="bullet"/>
      <w:lvlText w:val=""/>
      <w:lvlJc w:val="left"/>
      <w:pPr>
        <w:ind w:left="720" w:hanging="360"/>
      </w:pPr>
      <w:rPr>
        <w:rFonts w:ascii="Wingdings" w:hAnsi="Wingdings" w:hint="default"/>
      </w:rPr>
    </w:lvl>
    <w:lvl w:ilvl="1" w:tplc="09D2346C">
      <w:start w:val="1"/>
      <w:numFmt w:val="bullet"/>
      <w:lvlText w:val="o"/>
      <w:lvlJc w:val="left"/>
      <w:pPr>
        <w:ind w:left="1440" w:hanging="360"/>
      </w:pPr>
      <w:rPr>
        <w:rFonts w:ascii="Courier New" w:hAnsi="Courier New" w:hint="default"/>
      </w:rPr>
    </w:lvl>
    <w:lvl w:ilvl="2" w:tplc="7C0C4140">
      <w:start w:val="1"/>
      <w:numFmt w:val="bullet"/>
      <w:lvlText w:val=""/>
      <w:lvlJc w:val="left"/>
      <w:pPr>
        <w:ind w:left="2160" w:hanging="360"/>
      </w:pPr>
      <w:rPr>
        <w:rFonts w:ascii="Wingdings" w:hAnsi="Wingdings" w:hint="default"/>
      </w:rPr>
    </w:lvl>
    <w:lvl w:ilvl="3" w:tplc="935E0924">
      <w:start w:val="1"/>
      <w:numFmt w:val="bullet"/>
      <w:lvlText w:val=""/>
      <w:lvlJc w:val="left"/>
      <w:pPr>
        <w:ind w:left="2880" w:hanging="360"/>
      </w:pPr>
      <w:rPr>
        <w:rFonts w:ascii="Symbol" w:hAnsi="Symbol" w:hint="default"/>
      </w:rPr>
    </w:lvl>
    <w:lvl w:ilvl="4" w:tplc="031C87AC">
      <w:start w:val="1"/>
      <w:numFmt w:val="bullet"/>
      <w:lvlText w:val="o"/>
      <w:lvlJc w:val="left"/>
      <w:pPr>
        <w:ind w:left="3600" w:hanging="360"/>
      </w:pPr>
      <w:rPr>
        <w:rFonts w:ascii="Courier New" w:hAnsi="Courier New" w:hint="default"/>
      </w:rPr>
    </w:lvl>
    <w:lvl w:ilvl="5" w:tplc="7A9078F6">
      <w:start w:val="1"/>
      <w:numFmt w:val="bullet"/>
      <w:lvlText w:val=""/>
      <w:lvlJc w:val="left"/>
      <w:pPr>
        <w:ind w:left="4320" w:hanging="360"/>
      </w:pPr>
      <w:rPr>
        <w:rFonts w:ascii="Wingdings" w:hAnsi="Wingdings" w:hint="default"/>
      </w:rPr>
    </w:lvl>
    <w:lvl w:ilvl="6" w:tplc="ECE0E370">
      <w:start w:val="1"/>
      <w:numFmt w:val="bullet"/>
      <w:lvlText w:val=""/>
      <w:lvlJc w:val="left"/>
      <w:pPr>
        <w:ind w:left="5040" w:hanging="360"/>
      </w:pPr>
      <w:rPr>
        <w:rFonts w:ascii="Symbol" w:hAnsi="Symbol" w:hint="default"/>
      </w:rPr>
    </w:lvl>
    <w:lvl w:ilvl="7" w:tplc="D93C53BC">
      <w:start w:val="1"/>
      <w:numFmt w:val="bullet"/>
      <w:lvlText w:val="o"/>
      <w:lvlJc w:val="left"/>
      <w:pPr>
        <w:ind w:left="5760" w:hanging="360"/>
      </w:pPr>
      <w:rPr>
        <w:rFonts w:ascii="Courier New" w:hAnsi="Courier New" w:hint="default"/>
      </w:rPr>
    </w:lvl>
    <w:lvl w:ilvl="8" w:tplc="E828D690">
      <w:start w:val="1"/>
      <w:numFmt w:val="bullet"/>
      <w:lvlText w:val=""/>
      <w:lvlJc w:val="left"/>
      <w:pPr>
        <w:ind w:left="6480" w:hanging="360"/>
      </w:pPr>
      <w:rPr>
        <w:rFonts w:ascii="Wingdings" w:hAnsi="Wingdings" w:hint="default"/>
      </w:rPr>
    </w:lvl>
  </w:abstractNum>
  <w:abstractNum w:abstractNumId="5" w15:restartNumberingAfterBreak="0">
    <w:nsid w:val="39E3019F"/>
    <w:multiLevelType w:val="hybridMultilevel"/>
    <w:tmpl w:val="858E0F46"/>
    <w:lvl w:ilvl="0" w:tplc="FFFFFFFF">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EE47DC1"/>
    <w:multiLevelType w:val="hybridMultilevel"/>
    <w:tmpl w:val="996A2732"/>
    <w:lvl w:ilvl="0" w:tplc="F118DC0E">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452D0C07"/>
    <w:multiLevelType w:val="hybridMultilevel"/>
    <w:tmpl w:val="0BFE4AE2"/>
    <w:lvl w:ilvl="0" w:tplc="FFFFFFFF">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5703A89"/>
    <w:multiLevelType w:val="hybridMultilevel"/>
    <w:tmpl w:val="9BC8BD46"/>
    <w:lvl w:ilvl="0" w:tplc="9808E888">
      <w:start w:val="1"/>
      <w:numFmt w:val="bullet"/>
      <w:lvlText w:val=""/>
      <w:lvlJc w:val="left"/>
      <w:pPr>
        <w:ind w:left="360" w:hanging="360"/>
      </w:pPr>
      <w:rPr>
        <w:rFonts w:ascii="Wingdings" w:hAnsi="Wingdings" w:hint="default"/>
      </w:rPr>
    </w:lvl>
    <w:lvl w:ilvl="1" w:tplc="4EA2EFC8">
      <w:start w:val="1"/>
      <w:numFmt w:val="bullet"/>
      <w:lvlText w:val="o"/>
      <w:lvlJc w:val="left"/>
      <w:pPr>
        <w:ind w:left="1080" w:hanging="360"/>
      </w:pPr>
      <w:rPr>
        <w:rFonts w:ascii="Courier New" w:hAnsi="Courier New" w:hint="default"/>
      </w:rPr>
    </w:lvl>
    <w:lvl w:ilvl="2" w:tplc="8A740FCA">
      <w:start w:val="1"/>
      <w:numFmt w:val="bullet"/>
      <w:lvlText w:val=""/>
      <w:lvlJc w:val="left"/>
      <w:pPr>
        <w:ind w:left="1800" w:hanging="360"/>
      </w:pPr>
      <w:rPr>
        <w:rFonts w:ascii="Wingdings" w:hAnsi="Wingdings" w:hint="default"/>
      </w:rPr>
    </w:lvl>
    <w:lvl w:ilvl="3" w:tplc="F42618CE">
      <w:start w:val="1"/>
      <w:numFmt w:val="bullet"/>
      <w:lvlText w:val=""/>
      <w:lvlJc w:val="left"/>
      <w:pPr>
        <w:ind w:left="2520" w:hanging="360"/>
      </w:pPr>
      <w:rPr>
        <w:rFonts w:ascii="Symbol" w:hAnsi="Symbol" w:hint="default"/>
      </w:rPr>
    </w:lvl>
    <w:lvl w:ilvl="4" w:tplc="044C4A7C">
      <w:start w:val="1"/>
      <w:numFmt w:val="bullet"/>
      <w:lvlText w:val="o"/>
      <w:lvlJc w:val="left"/>
      <w:pPr>
        <w:ind w:left="3240" w:hanging="360"/>
      </w:pPr>
      <w:rPr>
        <w:rFonts w:ascii="Courier New" w:hAnsi="Courier New" w:hint="default"/>
      </w:rPr>
    </w:lvl>
    <w:lvl w:ilvl="5" w:tplc="00FE4CD4">
      <w:start w:val="1"/>
      <w:numFmt w:val="bullet"/>
      <w:lvlText w:val=""/>
      <w:lvlJc w:val="left"/>
      <w:pPr>
        <w:ind w:left="3960" w:hanging="360"/>
      </w:pPr>
      <w:rPr>
        <w:rFonts w:ascii="Wingdings" w:hAnsi="Wingdings" w:hint="default"/>
      </w:rPr>
    </w:lvl>
    <w:lvl w:ilvl="6" w:tplc="F1501948">
      <w:start w:val="1"/>
      <w:numFmt w:val="bullet"/>
      <w:lvlText w:val=""/>
      <w:lvlJc w:val="left"/>
      <w:pPr>
        <w:ind w:left="4680" w:hanging="360"/>
      </w:pPr>
      <w:rPr>
        <w:rFonts w:ascii="Symbol" w:hAnsi="Symbol" w:hint="default"/>
      </w:rPr>
    </w:lvl>
    <w:lvl w:ilvl="7" w:tplc="5B3A3CFE">
      <w:start w:val="1"/>
      <w:numFmt w:val="bullet"/>
      <w:lvlText w:val="o"/>
      <w:lvlJc w:val="left"/>
      <w:pPr>
        <w:ind w:left="5400" w:hanging="360"/>
      </w:pPr>
      <w:rPr>
        <w:rFonts w:ascii="Courier New" w:hAnsi="Courier New" w:hint="default"/>
      </w:rPr>
    </w:lvl>
    <w:lvl w:ilvl="8" w:tplc="5F84E8FE">
      <w:start w:val="1"/>
      <w:numFmt w:val="bullet"/>
      <w:lvlText w:val=""/>
      <w:lvlJc w:val="left"/>
      <w:pPr>
        <w:ind w:left="6120" w:hanging="360"/>
      </w:pPr>
      <w:rPr>
        <w:rFonts w:ascii="Wingdings" w:hAnsi="Wingdings" w:hint="default"/>
      </w:rPr>
    </w:lvl>
  </w:abstractNum>
  <w:abstractNum w:abstractNumId="9" w15:restartNumberingAfterBreak="0">
    <w:nsid w:val="48F357AA"/>
    <w:multiLevelType w:val="hybridMultilevel"/>
    <w:tmpl w:val="5D5AD9D2"/>
    <w:lvl w:ilvl="0" w:tplc="FFFFFFFF">
      <w:start w:val="1"/>
      <w:numFmt w:val="decimal"/>
      <w:lvlText w:val="%1."/>
      <w:lvlJc w:val="left"/>
      <w:pPr>
        <w:ind w:left="360" w:hanging="360"/>
      </w:pPr>
      <w:rPr>
        <w:rFonts w:hint="default"/>
        <w:b/>
        <w:bCs w:val="0"/>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4D975E53"/>
    <w:multiLevelType w:val="hybridMultilevel"/>
    <w:tmpl w:val="ADFE53B6"/>
    <w:lvl w:ilvl="0" w:tplc="280A0005">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0C84450"/>
    <w:multiLevelType w:val="hybridMultilevel"/>
    <w:tmpl w:val="671AAEFE"/>
    <w:lvl w:ilvl="0" w:tplc="FFFFFFFF">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18530F7"/>
    <w:multiLevelType w:val="hybridMultilevel"/>
    <w:tmpl w:val="9DE01782"/>
    <w:lvl w:ilvl="0" w:tplc="5A86543A">
      <w:start w:val="1"/>
      <w:numFmt w:val="decimal"/>
      <w:lvlText w:val="%1."/>
      <w:lvlJc w:val="left"/>
      <w:pPr>
        <w:ind w:left="360" w:hanging="360"/>
      </w:pPr>
      <w:rPr>
        <w:rFonts w:hint="default"/>
        <w:b w:val="0"/>
        <w:bCs/>
        <w:sz w:val="20"/>
        <w:szCs w:val="20"/>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3" w15:restartNumberingAfterBreak="0">
    <w:nsid w:val="66076FA3"/>
    <w:multiLevelType w:val="hybridMultilevel"/>
    <w:tmpl w:val="4EBC011C"/>
    <w:lvl w:ilvl="0" w:tplc="FFFFFFFF">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FA972AD"/>
    <w:multiLevelType w:val="hybridMultilevel"/>
    <w:tmpl w:val="42947546"/>
    <w:lvl w:ilvl="0" w:tplc="5FD2827A">
      <w:start w:val="1"/>
      <w:numFmt w:val="bullet"/>
      <w:lvlText w:val=""/>
      <w:lvlJc w:val="left"/>
      <w:pPr>
        <w:ind w:left="720" w:hanging="360"/>
      </w:pPr>
      <w:rPr>
        <w:rFonts w:ascii="Wingdings" w:hAnsi="Wingdings" w:hint="default"/>
      </w:rPr>
    </w:lvl>
    <w:lvl w:ilvl="1" w:tplc="1276A71E">
      <w:start w:val="1"/>
      <w:numFmt w:val="bullet"/>
      <w:lvlText w:val="o"/>
      <w:lvlJc w:val="left"/>
      <w:pPr>
        <w:ind w:left="1440" w:hanging="360"/>
      </w:pPr>
      <w:rPr>
        <w:rFonts w:ascii="Courier New" w:hAnsi="Courier New" w:hint="default"/>
      </w:rPr>
    </w:lvl>
    <w:lvl w:ilvl="2" w:tplc="B6961674">
      <w:start w:val="1"/>
      <w:numFmt w:val="bullet"/>
      <w:lvlText w:val=""/>
      <w:lvlJc w:val="left"/>
      <w:pPr>
        <w:ind w:left="2160" w:hanging="360"/>
      </w:pPr>
      <w:rPr>
        <w:rFonts w:ascii="Wingdings" w:hAnsi="Wingdings" w:hint="default"/>
      </w:rPr>
    </w:lvl>
    <w:lvl w:ilvl="3" w:tplc="B618350A">
      <w:start w:val="1"/>
      <w:numFmt w:val="bullet"/>
      <w:lvlText w:val=""/>
      <w:lvlJc w:val="left"/>
      <w:pPr>
        <w:ind w:left="2880" w:hanging="360"/>
      </w:pPr>
      <w:rPr>
        <w:rFonts w:ascii="Symbol" w:hAnsi="Symbol" w:hint="default"/>
      </w:rPr>
    </w:lvl>
    <w:lvl w:ilvl="4" w:tplc="1B968DA4">
      <w:start w:val="1"/>
      <w:numFmt w:val="bullet"/>
      <w:lvlText w:val="o"/>
      <w:lvlJc w:val="left"/>
      <w:pPr>
        <w:ind w:left="3600" w:hanging="360"/>
      </w:pPr>
      <w:rPr>
        <w:rFonts w:ascii="Courier New" w:hAnsi="Courier New" w:hint="default"/>
      </w:rPr>
    </w:lvl>
    <w:lvl w:ilvl="5" w:tplc="47DE8FEA">
      <w:start w:val="1"/>
      <w:numFmt w:val="bullet"/>
      <w:lvlText w:val=""/>
      <w:lvlJc w:val="left"/>
      <w:pPr>
        <w:ind w:left="4320" w:hanging="360"/>
      </w:pPr>
      <w:rPr>
        <w:rFonts w:ascii="Wingdings" w:hAnsi="Wingdings" w:hint="default"/>
      </w:rPr>
    </w:lvl>
    <w:lvl w:ilvl="6" w:tplc="A5E26A12">
      <w:start w:val="1"/>
      <w:numFmt w:val="bullet"/>
      <w:lvlText w:val=""/>
      <w:lvlJc w:val="left"/>
      <w:pPr>
        <w:ind w:left="5040" w:hanging="360"/>
      </w:pPr>
      <w:rPr>
        <w:rFonts w:ascii="Symbol" w:hAnsi="Symbol" w:hint="default"/>
      </w:rPr>
    </w:lvl>
    <w:lvl w:ilvl="7" w:tplc="ACDE6D76">
      <w:start w:val="1"/>
      <w:numFmt w:val="bullet"/>
      <w:lvlText w:val="o"/>
      <w:lvlJc w:val="left"/>
      <w:pPr>
        <w:ind w:left="5760" w:hanging="360"/>
      </w:pPr>
      <w:rPr>
        <w:rFonts w:ascii="Courier New" w:hAnsi="Courier New" w:hint="default"/>
      </w:rPr>
    </w:lvl>
    <w:lvl w:ilvl="8" w:tplc="CEE60D3E">
      <w:start w:val="1"/>
      <w:numFmt w:val="bullet"/>
      <w:lvlText w:val=""/>
      <w:lvlJc w:val="left"/>
      <w:pPr>
        <w:ind w:left="6480" w:hanging="360"/>
      </w:pPr>
      <w:rPr>
        <w:rFonts w:ascii="Wingdings" w:hAnsi="Wingdings" w:hint="default"/>
      </w:rPr>
    </w:lvl>
  </w:abstractNum>
  <w:abstractNum w:abstractNumId="15" w15:restartNumberingAfterBreak="0">
    <w:nsid w:val="7F20433E"/>
    <w:multiLevelType w:val="hybridMultilevel"/>
    <w:tmpl w:val="71986BD0"/>
    <w:lvl w:ilvl="0" w:tplc="FFFFFFFF">
      <w:start w:val="1"/>
      <w:numFmt w:val="decimal"/>
      <w:lvlText w:val="%1."/>
      <w:lvlJc w:val="left"/>
      <w:pPr>
        <w:ind w:left="360" w:hanging="360"/>
      </w:pPr>
      <w:rPr>
        <w:rFonts w:hint="default"/>
        <w:b w:val="0"/>
        <w:bCs/>
        <w:sz w:val="20"/>
        <w:szCs w:val="20"/>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4"/>
  </w:num>
  <w:num w:numId="2">
    <w:abstractNumId w:val="14"/>
  </w:num>
  <w:num w:numId="3">
    <w:abstractNumId w:val="8"/>
  </w:num>
  <w:num w:numId="4">
    <w:abstractNumId w:val="3"/>
  </w:num>
  <w:num w:numId="5">
    <w:abstractNumId w:val="12"/>
  </w:num>
  <w:num w:numId="6">
    <w:abstractNumId w:val="7"/>
  </w:num>
  <w:num w:numId="7">
    <w:abstractNumId w:val="6"/>
  </w:num>
  <w:num w:numId="8">
    <w:abstractNumId w:val="10"/>
  </w:num>
  <w:num w:numId="9">
    <w:abstractNumId w:val="13"/>
  </w:num>
  <w:num w:numId="10">
    <w:abstractNumId w:val="2"/>
  </w:num>
  <w:num w:numId="11">
    <w:abstractNumId w:val="11"/>
  </w:num>
  <w:num w:numId="12">
    <w:abstractNumId w:val="1"/>
  </w:num>
  <w:num w:numId="13">
    <w:abstractNumId w:val="9"/>
  </w:num>
  <w:num w:numId="14">
    <w:abstractNumId w:val="15"/>
  </w:num>
  <w:num w:numId="15">
    <w:abstractNumId w:val="5"/>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3AC"/>
    <w:rsid w:val="000260E9"/>
    <w:rsid w:val="00050ECF"/>
    <w:rsid w:val="000A63A3"/>
    <w:rsid w:val="001209F8"/>
    <w:rsid w:val="0017171B"/>
    <w:rsid w:val="001E6959"/>
    <w:rsid w:val="00217328"/>
    <w:rsid w:val="00237AE4"/>
    <w:rsid w:val="00241C97"/>
    <w:rsid w:val="00247ED8"/>
    <w:rsid w:val="002743D9"/>
    <w:rsid w:val="002E06BC"/>
    <w:rsid w:val="003059AD"/>
    <w:rsid w:val="0032161C"/>
    <w:rsid w:val="00327673"/>
    <w:rsid w:val="00344E4C"/>
    <w:rsid w:val="00403971"/>
    <w:rsid w:val="004330DF"/>
    <w:rsid w:val="004D3F1C"/>
    <w:rsid w:val="005D3EC3"/>
    <w:rsid w:val="00670AFB"/>
    <w:rsid w:val="00685001"/>
    <w:rsid w:val="006F3941"/>
    <w:rsid w:val="00700EE8"/>
    <w:rsid w:val="0072441D"/>
    <w:rsid w:val="00763E7B"/>
    <w:rsid w:val="007A0815"/>
    <w:rsid w:val="007C6BF8"/>
    <w:rsid w:val="00843086"/>
    <w:rsid w:val="008B5D70"/>
    <w:rsid w:val="008C7559"/>
    <w:rsid w:val="009542A8"/>
    <w:rsid w:val="009B63AC"/>
    <w:rsid w:val="009D3095"/>
    <w:rsid w:val="009D53F0"/>
    <w:rsid w:val="009E4D88"/>
    <w:rsid w:val="00A13F00"/>
    <w:rsid w:val="00A63ECA"/>
    <w:rsid w:val="00A94273"/>
    <w:rsid w:val="00AE2058"/>
    <w:rsid w:val="00AF1D57"/>
    <w:rsid w:val="00B10E59"/>
    <w:rsid w:val="00B34AB8"/>
    <w:rsid w:val="00B471BB"/>
    <w:rsid w:val="00B80398"/>
    <w:rsid w:val="00BA6E5E"/>
    <w:rsid w:val="00BE125D"/>
    <w:rsid w:val="00BF3626"/>
    <w:rsid w:val="00C16169"/>
    <w:rsid w:val="00C36FE6"/>
    <w:rsid w:val="00C54557"/>
    <w:rsid w:val="00CA2C89"/>
    <w:rsid w:val="00CD719C"/>
    <w:rsid w:val="00D0001E"/>
    <w:rsid w:val="00D04AC1"/>
    <w:rsid w:val="00D45F30"/>
    <w:rsid w:val="00D64EF8"/>
    <w:rsid w:val="00D81D7B"/>
    <w:rsid w:val="00D81E86"/>
    <w:rsid w:val="00DB1253"/>
    <w:rsid w:val="00DB403B"/>
    <w:rsid w:val="00E85872"/>
    <w:rsid w:val="00E8711A"/>
    <w:rsid w:val="00ED72FD"/>
    <w:rsid w:val="00EE3152"/>
    <w:rsid w:val="00F669B1"/>
    <w:rsid w:val="00F706DE"/>
    <w:rsid w:val="00FE54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2AF39"/>
  <w15:chartTrackingRefBased/>
  <w15:docId w15:val="{83FEA6A2-8AD7-4630-A0F5-597DB477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3AC"/>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undamentacion,Bullets,Numbered Paragraph,Main numbered paragraph,References,Numbered List Paragraph,123 List Paragraph,List Paragraph (numbered (a)),List Paragraph nowy,Liste 1,List_Paragraph,Multilevel para_II,List Paragraph1,TITULO A"/>
    <w:basedOn w:val="Normal"/>
    <w:link w:val="PrrafodelistaCar"/>
    <w:uiPriority w:val="34"/>
    <w:qFormat/>
    <w:rsid w:val="009B63AC"/>
    <w:pPr>
      <w:ind w:left="720"/>
      <w:contextualSpacing/>
    </w:pPr>
  </w:style>
  <w:style w:type="character" w:customStyle="1" w:styleId="PrrafodelistaCar">
    <w:name w:val="Párrafo de lista Car"/>
    <w:aliases w:val="Fundamentacion Car,Bullets Car,Numbered Paragraph Car,Main numbered paragraph Car,References Car,Numbered List Paragraph Car,123 List Paragraph Car,List Paragraph (numbered (a)) Car,List Paragraph nowy Car,Liste 1 Car,TITULO A Car"/>
    <w:link w:val="Prrafodelista"/>
    <w:uiPriority w:val="34"/>
    <w:qFormat/>
    <w:rsid w:val="009D53F0"/>
    <w:rPr>
      <w:kern w:val="0"/>
      <w14:ligatures w14:val="none"/>
    </w:rPr>
  </w:style>
  <w:style w:type="paragraph" w:styleId="Textonotapie">
    <w:name w:val="footnote text"/>
    <w:aliases w:val="Texto nota pie Car Car,Texto nota pie Car1,Texto nota pie Car Car Car,Geneva 9,Font: Geneva 9,Boston 10,f,Fußnotentextr,texto de nota al pie,NOTA AL PIE TESIS PUCP,Texto,nota,pie,Ref.,al,texto de nota al pie Car Car,ft Car Car Car,ft,FN,C"/>
    <w:basedOn w:val="Normal"/>
    <w:link w:val="TextonotapieCar"/>
    <w:uiPriority w:val="99"/>
    <w:unhideWhenUsed/>
    <w:qFormat/>
    <w:rsid w:val="009D53F0"/>
    <w:pPr>
      <w:spacing w:after="0" w:line="240" w:lineRule="auto"/>
    </w:pPr>
    <w:rPr>
      <w:rFonts w:ascii="Times New Roman" w:eastAsia="Times New Roman" w:hAnsi="Times New Roman" w:cs="Times New Roman"/>
      <w:sz w:val="20"/>
      <w:szCs w:val="20"/>
    </w:rPr>
  </w:style>
  <w:style w:type="character" w:customStyle="1" w:styleId="TextonotapieCar">
    <w:name w:val="Texto nota pie Car"/>
    <w:aliases w:val="Texto nota pie Car Car Car1,Texto nota pie Car1 Car,Texto nota pie Car Car Car Car,Geneva 9 Car,Font: Geneva 9 Car,Boston 10 Car,f Car,Fußnotentextr Car,texto de nota al pie Car,NOTA AL PIE TESIS PUCP Car,Texto Car,nota Car,pie Car"/>
    <w:basedOn w:val="Fuentedeprrafopredeter"/>
    <w:link w:val="Textonotapie"/>
    <w:uiPriority w:val="99"/>
    <w:qFormat/>
    <w:rsid w:val="009D53F0"/>
    <w:rPr>
      <w:rFonts w:ascii="Times New Roman" w:eastAsia="Times New Roman" w:hAnsi="Times New Roman" w:cs="Times New Roman"/>
      <w:kern w:val="0"/>
      <w:sz w:val="20"/>
      <w:szCs w:val="20"/>
      <w14:ligatures w14:val="none"/>
    </w:rPr>
  </w:style>
  <w:style w:type="character" w:styleId="Refdenotaalpie">
    <w:name w:val="footnote reference"/>
    <w:aliases w:val="GP Footnote Reference,FC,16 Point,Superscript 6 Point,(Ref. de nota al pie),BVI fnr, BVI fnr,Referencia nota al pie,sobrescrito,Ref,de nota al pie,Ref. de nota al pi,titulo 2,Ref. de nota al pie.,ftref,Знак сноски-FN,Style 24,pie pdd"/>
    <w:basedOn w:val="Fuentedeprrafopredeter"/>
    <w:link w:val="Char2"/>
    <w:uiPriority w:val="99"/>
    <w:unhideWhenUsed/>
    <w:qFormat/>
    <w:rsid w:val="009D53F0"/>
    <w:rPr>
      <w:vertAlign w:val="superscript"/>
    </w:rPr>
  </w:style>
  <w:style w:type="paragraph" w:customStyle="1" w:styleId="Char2">
    <w:name w:val="Char2"/>
    <w:basedOn w:val="Normal"/>
    <w:link w:val="Refdenotaalpie"/>
    <w:uiPriority w:val="99"/>
    <w:rsid w:val="009D53F0"/>
    <w:pPr>
      <w:spacing w:before="120" w:line="240" w:lineRule="exact"/>
      <w:jc w:val="both"/>
    </w:pPr>
    <w:rPr>
      <w:kern w:val="2"/>
      <w:vertAlign w:val="superscript"/>
      <w14:ligatures w14:val="standardContextual"/>
    </w:rPr>
  </w:style>
  <w:style w:type="character" w:customStyle="1" w:styleId="normaltextrun">
    <w:name w:val="normaltextrun"/>
    <w:basedOn w:val="Fuentedeprrafopredeter"/>
    <w:rsid w:val="009D53F0"/>
  </w:style>
  <w:style w:type="table" w:styleId="Tablaconcuadrcula1clara">
    <w:name w:val="Grid Table 1 Light"/>
    <w:basedOn w:val="Tablanormal"/>
    <w:uiPriority w:val="46"/>
    <w:rsid w:val="00B471BB"/>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8C755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C7559"/>
    <w:rPr>
      <w:kern w:val="0"/>
      <w14:ligatures w14:val="none"/>
    </w:rPr>
  </w:style>
  <w:style w:type="paragraph" w:styleId="Piedepgina">
    <w:name w:val="footer"/>
    <w:basedOn w:val="Normal"/>
    <w:link w:val="PiedepginaCar"/>
    <w:uiPriority w:val="99"/>
    <w:unhideWhenUsed/>
    <w:rsid w:val="008C755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C7559"/>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83843">
      <w:bodyDiv w:val="1"/>
      <w:marLeft w:val="0"/>
      <w:marRight w:val="0"/>
      <w:marTop w:val="0"/>
      <w:marBottom w:val="0"/>
      <w:divBdr>
        <w:top w:val="none" w:sz="0" w:space="0" w:color="auto"/>
        <w:left w:val="none" w:sz="0" w:space="0" w:color="auto"/>
        <w:bottom w:val="none" w:sz="0" w:space="0" w:color="auto"/>
        <w:right w:val="none" w:sz="0" w:space="0" w:color="auto"/>
      </w:divBdr>
    </w:div>
    <w:div w:id="367147504">
      <w:bodyDiv w:val="1"/>
      <w:marLeft w:val="0"/>
      <w:marRight w:val="0"/>
      <w:marTop w:val="0"/>
      <w:marBottom w:val="0"/>
      <w:divBdr>
        <w:top w:val="none" w:sz="0" w:space="0" w:color="auto"/>
        <w:left w:val="none" w:sz="0" w:space="0" w:color="auto"/>
        <w:bottom w:val="none" w:sz="0" w:space="0" w:color="auto"/>
        <w:right w:val="none" w:sz="0" w:space="0" w:color="auto"/>
      </w:divBdr>
    </w:div>
    <w:div w:id="374428322">
      <w:bodyDiv w:val="1"/>
      <w:marLeft w:val="0"/>
      <w:marRight w:val="0"/>
      <w:marTop w:val="0"/>
      <w:marBottom w:val="0"/>
      <w:divBdr>
        <w:top w:val="none" w:sz="0" w:space="0" w:color="auto"/>
        <w:left w:val="none" w:sz="0" w:space="0" w:color="auto"/>
        <w:bottom w:val="none" w:sz="0" w:space="0" w:color="auto"/>
        <w:right w:val="none" w:sz="0" w:space="0" w:color="auto"/>
      </w:divBdr>
    </w:div>
    <w:div w:id="411051324">
      <w:bodyDiv w:val="1"/>
      <w:marLeft w:val="0"/>
      <w:marRight w:val="0"/>
      <w:marTop w:val="0"/>
      <w:marBottom w:val="0"/>
      <w:divBdr>
        <w:top w:val="none" w:sz="0" w:space="0" w:color="auto"/>
        <w:left w:val="none" w:sz="0" w:space="0" w:color="auto"/>
        <w:bottom w:val="none" w:sz="0" w:space="0" w:color="auto"/>
        <w:right w:val="none" w:sz="0" w:space="0" w:color="auto"/>
      </w:divBdr>
    </w:div>
    <w:div w:id="579947816">
      <w:bodyDiv w:val="1"/>
      <w:marLeft w:val="0"/>
      <w:marRight w:val="0"/>
      <w:marTop w:val="0"/>
      <w:marBottom w:val="0"/>
      <w:divBdr>
        <w:top w:val="none" w:sz="0" w:space="0" w:color="auto"/>
        <w:left w:val="none" w:sz="0" w:space="0" w:color="auto"/>
        <w:bottom w:val="none" w:sz="0" w:space="0" w:color="auto"/>
        <w:right w:val="none" w:sz="0" w:space="0" w:color="auto"/>
      </w:divBdr>
    </w:div>
    <w:div w:id="687677193">
      <w:bodyDiv w:val="1"/>
      <w:marLeft w:val="0"/>
      <w:marRight w:val="0"/>
      <w:marTop w:val="0"/>
      <w:marBottom w:val="0"/>
      <w:divBdr>
        <w:top w:val="none" w:sz="0" w:space="0" w:color="auto"/>
        <w:left w:val="none" w:sz="0" w:space="0" w:color="auto"/>
        <w:bottom w:val="none" w:sz="0" w:space="0" w:color="auto"/>
        <w:right w:val="none" w:sz="0" w:space="0" w:color="auto"/>
      </w:divBdr>
    </w:div>
    <w:div w:id="1071271377">
      <w:bodyDiv w:val="1"/>
      <w:marLeft w:val="0"/>
      <w:marRight w:val="0"/>
      <w:marTop w:val="0"/>
      <w:marBottom w:val="0"/>
      <w:divBdr>
        <w:top w:val="none" w:sz="0" w:space="0" w:color="auto"/>
        <w:left w:val="none" w:sz="0" w:space="0" w:color="auto"/>
        <w:bottom w:val="none" w:sz="0" w:space="0" w:color="auto"/>
        <w:right w:val="none" w:sz="0" w:space="0" w:color="auto"/>
      </w:divBdr>
    </w:div>
    <w:div w:id="1443644536">
      <w:bodyDiv w:val="1"/>
      <w:marLeft w:val="0"/>
      <w:marRight w:val="0"/>
      <w:marTop w:val="0"/>
      <w:marBottom w:val="0"/>
      <w:divBdr>
        <w:top w:val="none" w:sz="0" w:space="0" w:color="auto"/>
        <w:left w:val="none" w:sz="0" w:space="0" w:color="auto"/>
        <w:bottom w:val="none" w:sz="0" w:space="0" w:color="auto"/>
        <w:right w:val="none" w:sz="0" w:space="0" w:color="auto"/>
      </w:divBdr>
    </w:div>
    <w:div w:id="1867790165">
      <w:bodyDiv w:val="1"/>
      <w:marLeft w:val="0"/>
      <w:marRight w:val="0"/>
      <w:marTop w:val="0"/>
      <w:marBottom w:val="0"/>
      <w:divBdr>
        <w:top w:val="none" w:sz="0" w:space="0" w:color="auto"/>
        <w:left w:val="none" w:sz="0" w:space="0" w:color="auto"/>
        <w:bottom w:val="none" w:sz="0" w:space="0" w:color="auto"/>
        <w:right w:val="none" w:sz="0" w:space="0" w:color="auto"/>
      </w:divBdr>
    </w:div>
    <w:div w:id="1895653892">
      <w:bodyDiv w:val="1"/>
      <w:marLeft w:val="0"/>
      <w:marRight w:val="0"/>
      <w:marTop w:val="0"/>
      <w:marBottom w:val="0"/>
      <w:divBdr>
        <w:top w:val="none" w:sz="0" w:space="0" w:color="auto"/>
        <w:left w:val="none" w:sz="0" w:space="0" w:color="auto"/>
        <w:bottom w:val="none" w:sz="0" w:space="0" w:color="auto"/>
        <w:right w:val="none" w:sz="0" w:space="0" w:color="auto"/>
      </w:divBdr>
    </w:div>
    <w:div w:id="1982418768">
      <w:bodyDiv w:val="1"/>
      <w:marLeft w:val="0"/>
      <w:marRight w:val="0"/>
      <w:marTop w:val="0"/>
      <w:marBottom w:val="0"/>
      <w:divBdr>
        <w:top w:val="none" w:sz="0" w:space="0" w:color="auto"/>
        <w:left w:val="none" w:sz="0" w:space="0" w:color="auto"/>
        <w:bottom w:val="none" w:sz="0" w:space="0" w:color="auto"/>
        <w:right w:val="none" w:sz="0" w:space="0" w:color="auto"/>
      </w:divBdr>
    </w:div>
    <w:div w:id="2074692953">
      <w:bodyDiv w:val="1"/>
      <w:marLeft w:val="0"/>
      <w:marRight w:val="0"/>
      <w:marTop w:val="0"/>
      <w:marBottom w:val="0"/>
      <w:divBdr>
        <w:top w:val="none" w:sz="0" w:space="0" w:color="auto"/>
        <w:left w:val="none" w:sz="0" w:space="0" w:color="auto"/>
        <w:bottom w:val="none" w:sz="0" w:space="0" w:color="auto"/>
        <w:right w:val="none" w:sz="0" w:space="0" w:color="auto"/>
      </w:divBdr>
    </w:div>
    <w:div w:id="2091847149">
      <w:bodyDiv w:val="1"/>
      <w:marLeft w:val="0"/>
      <w:marRight w:val="0"/>
      <w:marTop w:val="0"/>
      <w:marBottom w:val="0"/>
      <w:divBdr>
        <w:top w:val="none" w:sz="0" w:space="0" w:color="auto"/>
        <w:left w:val="none" w:sz="0" w:space="0" w:color="auto"/>
        <w:bottom w:val="none" w:sz="0" w:space="0" w:color="auto"/>
        <w:right w:val="none" w:sz="0" w:space="0" w:color="auto"/>
      </w:divBdr>
    </w:div>
    <w:div w:id="2115975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07088-B3F7-4750-8CF2-E6CF65D2A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2</Pages>
  <Words>1003</Words>
  <Characters>5518</Characters>
  <Application>Microsoft Office Word</Application>
  <DocSecurity>0</DocSecurity>
  <Lines>45</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DIPLAN 11</dc:creator>
  <cp:keywords/>
  <dc:description/>
  <cp:lastModifiedBy>DIPLAN27</cp:lastModifiedBy>
  <cp:revision>5</cp:revision>
  <dcterms:created xsi:type="dcterms:W3CDTF">2025-05-22T13:54:00Z</dcterms:created>
  <dcterms:modified xsi:type="dcterms:W3CDTF">2025-09-25T22:14:00Z</dcterms:modified>
</cp:coreProperties>
</file>