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Benchmarking knowledge tracing methods across five educational datasets:</w:t>
      </w:r>
    </w:p>
    <w:p>
      <w:pPr>
        <w:spacing w:after="400"/>
        <w:jc w:val="center"/>
      </w:pPr>
      <w:r>
        <w:rPr>
          <w:rFonts w:ascii="Times New Roman" w:cs="Times New Roman" w:eastAsia="Times New Roman" w:hAnsi="Times New Roman"/>
          <w:b/>
          <w:bCs/>
          <w:sz w:val="32"/>
          <w:szCs w:val="32"/>
        </w:rPr>
        <w:t xml:space="preserve">A comparative study of Bayesian, logistic, and deep learning approaches</w:t>
      </w:r>
    </w:p>
    <w:p>
      <w:pPr>
        <w:spacing w:after="600"/>
        <w:jc w:val="center"/>
      </w:pPr>
      <w:r>
        <w:rPr>
          <w:rFonts w:ascii="Times New Roman" w:cs="Times New Roman" w:eastAsia="Times New Roman" w:hAnsi="Times New Roman"/>
          <w:sz w:val="24"/>
          <w:szCs w:val="24"/>
        </w:rPr>
        <w:t xml:space="preserve">Irakli Matcharashvili</w:t>
      </w:r>
    </w:p>
    <w:p>
      <w:pPr>
        <w:pStyle w:val="Heading1"/>
        <w:spacing w:after="200" w:before="360"/>
      </w:pPr>
      <w:r>
        <w:rPr>
          <w:rFonts w:ascii="Times New Roman" w:cs="Times New Roman" w:eastAsia="Times New Roman" w:hAnsi="Times New Roman"/>
          <w:b/>
          <w:bCs/>
          <w:sz w:val="28"/>
          <w:szCs w:val="28"/>
        </w:rPr>
        <w:t xml:space="preserve">Abstract</w:t>
      </w:r>
    </w:p>
    <w:p>
      <w:pPr>
        <w:spacing w:after="200" w:line="360"/>
      </w:pPr>
      <w:r>
        <w:rPr>
          <w:rFonts w:ascii="Times New Roman" w:cs="Times New Roman" w:eastAsia="Times New Roman" w:hAnsi="Times New Roman"/>
          <w:sz w:val="24"/>
          <w:szCs w:val="24"/>
        </w:rPr>
        <w:t xml:space="preserve">Knowledge tracing (KT), the task of modeling student knowledge over time to predict future performance, is a foundational problem in educational data mining. Despite the rapid proliferation of deep learning approaches to KT, no recent comprehensive benchmark has systematically compared classical and neural methods across multiple datasets using a consistent evaluation protocol. This study addresses that gap by benchmarking five KT methods spanning three methodological generations: Bayesian Knowledge Tracing (BKT; Corbett &amp; Anderson, 1995), Performance Factors Analysis (PFA; Pavlik et al., 2009), Deep Knowledge Tracing (DKT; Piech et al., 2015), Self-Attentive Knowledge Tracing (SAKT; Pandey &amp; Karypis, 2019), and a generic causal Transformer baseline (TransformerKT). All models were evaluated on five publicly available benchmark datasets (ASSISTments 2009, ASSISTments 2015, ASSISTments 2017, Statics 2011, and Algebra 2005) using 5-fold student-level cross-validation with five metrics: AUC-ROC, PR-AUC, accuracy, F1 score, and RMSE. Critically, all models were evaluated on the identical prediction subset, defined by excluding each student's first encounter with each skill. Results indicate that deep learning methods consistently outperform classical approaches, with DKT achieving the highest macro-averaged AUC-ROC (M = 0.725) compared to BKT (M = 0.685) and PFA (M = 0.685). TransformerKT (M = 0.715) closely trails DKT, while SAKT (M = 0.704) shows more modest gains over classical methods. The performance gap between classical and deep learning models ranges from 2.9 to 4.9 AUC percentage points depending on the dataset. Classical methods remain competitive on datasets with long interaction sequences (e.g., Algebra 2005, where BKT achieves AUC = 0.753) and offer substantially lower computational costs. These findings provide practitioners with empirically grounded guidance for model selection in knowledge tracing applications.</w:t>
      </w:r>
    </w:p>
    <w:p>
      <w:pPr>
        <w:spacing w:after="200" w:line="36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knowledge tracing, educational data mining, deep learning, benchmark, Bayesian knowledge tracing, self-attention</w:t>
      </w:r>
    </w:p>
    <w:p>
      <w:r>
        <w:br w:type="page"/>
      </w:r>
    </w:p>
    <w:p>
      <w:pPr>
        <w:pStyle w:val="Heading1"/>
        <w:spacing w:after="200" w:before="360"/>
      </w:pPr>
      <w:r>
        <w:rPr>
          <w:rFonts w:ascii="Times New Roman" w:cs="Times New Roman" w:eastAsia="Times New Roman" w:hAnsi="Times New Roman"/>
          <w:b/>
          <w:bCs/>
          <w:sz w:val="28"/>
          <w:szCs w:val="28"/>
        </w:rPr>
        <w:t xml:space="preserve">Introduction</w:t>
      </w:r>
    </w:p>
    <w:p>
      <w:pPr>
        <w:spacing w:after="200" w:line="360"/>
      </w:pPr>
      <w:r>
        <w:rPr>
          <w:rFonts w:ascii="Times New Roman" w:cs="Times New Roman" w:eastAsia="Times New Roman" w:hAnsi="Times New Roman"/>
          <w:sz w:val="24"/>
          <w:szCs w:val="24"/>
        </w:rPr>
        <w:t xml:space="preserve">Understanding what students know and predicting what they will learn next is a central challenge in educational technology and learning science. Knowledge tracing (KT) refers to the computational task of modeling a student's evolving knowledge state based on their sequence of interactions with learning materials (Corbett &amp; Anderson, 1995). Accurate KT models have practical implications for adaptive learning systems, as they enable personalized content selection, timely intervention, and mastery-based progression through curricula (Baker &amp; Inventado, 2014).</w:t>
      </w:r>
    </w:p>
    <w:p>
      <w:pPr>
        <w:spacing w:after="200" w:line="360"/>
      </w:pPr>
      <w:r>
        <w:rPr>
          <w:rFonts w:ascii="Times New Roman" w:cs="Times New Roman" w:eastAsia="Times New Roman" w:hAnsi="Times New Roman"/>
          <w:sz w:val="24"/>
          <w:szCs w:val="24"/>
        </w:rPr>
        <w:t xml:space="preserve">The earliest and most influential KT framework is Bayesian Knowledge Tracing (BKT), introduced by Corbett and Anderson (1995). BKT models each skill as a two-state Hidden Markov Model, with parameters governing the initial probability of mastery, the probability of learning, and the probabilities of guessing and slipping. Despite its simplicity, BKT remained the dominant approach for nearly two decades and has been extended in numerous ways, including student-level individualization (Yudelson et al., 2013) and integration with item response theory (IRT; Rasch, 1960).</w:t>
      </w:r>
    </w:p>
    <w:p>
      <w:pPr>
        <w:spacing w:after="200" w:line="360"/>
      </w:pPr>
      <w:r>
        <w:rPr>
          <w:rFonts w:ascii="Times New Roman" w:cs="Times New Roman" w:eastAsia="Times New Roman" w:hAnsi="Times New Roman"/>
          <w:sz w:val="24"/>
          <w:szCs w:val="24"/>
        </w:rPr>
        <w:t xml:space="preserve">A parallel line of work explored logistic regression-based methods for knowledge tracing. Performance Factors Analysis (PFA; Pavlik et al., 2009) models student performance as a function of skill-specific intercepts and cumulative success and failure counts per skill, drawing on Learning Factors Analysis (Cen et al., 2006). PFA offers computational efficiency and interpretability, though it does not model latent knowledge states explicitly.</w:t>
      </w:r>
    </w:p>
    <w:p>
      <w:pPr>
        <w:spacing w:after="200" w:line="360"/>
      </w:pPr>
      <w:r>
        <w:rPr>
          <w:rFonts w:ascii="Times New Roman" w:cs="Times New Roman" w:eastAsia="Times New Roman" w:hAnsi="Times New Roman"/>
          <w:sz w:val="24"/>
          <w:szCs w:val="24"/>
        </w:rPr>
        <w:t xml:space="preserve">The introduction of Deep Knowledge Tracing (DKT) by Piech et al. (2015) marked a paradigm shift in the field. DKT uses a recurrent neural network (specifically, an LSTM) to process sequences of student interactions and predict future performance. Piech et al. (2015) reported substantial improvements over BKT on the ASSISTments dataset, sparking an extensive body of follow-up work. However, DKT has been criticized for issues including non-interpretability and inconsistencies in predicted knowledge states over time (Gervet et al., 2020).</w:t>
      </w:r>
    </w:p>
    <w:p>
      <w:pPr>
        <w:spacing w:after="200" w:line="360"/>
      </w:pPr>
      <w:r>
        <w:rPr>
          <w:rFonts w:ascii="Times New Roman" w:cs="Times New Roman" w:eastAsia="Times New Roman" w:hAnsi="Times New Roman"/>
          <w:sz w:val="24"/>
          <w:szCs w:val="24"/>
        </w:rPr>
        <w:t xml:space="preserve">Subsequent deep learning approaches sought to address these limitations while leveraging attention mechanisms from natural language processing. Pandey and Karypis (2019) proposed Self-Attentive Knowledge Tracing (SAKT), which replaces the recurrent architecture with a self-attention mechanism that directly attends to relevant past interactions. Ghosh et al. (2020) extended this idea with context-aware Attentive Knowledge Tracing (AKT), incorporating a monotonic attention mechanism and Rasch-model-inspired embeddings to capture both exercise difficulty and student ability.</w:t>
      </w:r>
    </w:p>
    <w:p>
      <w:pPr>
        <w:spacing w:after="200" w:line="360"/>
      </w:pPr>
      <w:r>
        <w:rPr>
          <w:rFonts w:ascii="Times New Roman" w:cs="Times New Roman" w:eastAsia="Times New Roman" w:hAnsi="Times New Roman"/>
          <w:sz w:val="24"/>
          <w:szCs w:val="24"/>
        </w:rPr>
        <w:t xml:space="preserve">More recently, researchers have begun exploring large language models for knowledge tracing. Jung et al. (2025) proposed CLST, which aligns a generative language model as a student knowledge tracer to address cold-start problems. Neubauer et al. (2026) investigated principled transformer architectures for predictive performance in knowledge tracing. Badrinath and Pardos (2025) explored neural network parameter generation to optimize BKT. These developments suggest a trajectory toward increasingly complex architectures for KT.</w:t>
      </w:r>
    </w:p>
    <w:p>
      <w:pPr>
        <w:spacing w:after="200" w:line="360"/>
      </w:pPr>
      <w:r>
        <w:rPr>
          <w:rFonts w:ascii="Times New Roman" w:cs="Times New Roman" w:eastAsia="Times New Roman" w:hAnsi="Times New Roman"/>
          <w:sz w:val="24"/>
          <w:szCs w:val="24"/>
        </w:rPr>
        <w:t xml:space="preserve">Despite this proliferation of methods, a critical question persists: do the gains from newer, more complex architectures justify their increased computational cost and reduced interpretability? Gervet et al. (2020) raised this question directly, finding that simpler baselines could match deep learning approaches on some datasets when properly tuned. Their work, however, predated several attention-based models and did not include the full range of datasets and methods available today.</w:t>
      </w:r>
    </w:p>
    <w:p>
      <w:pPr>
        <w:spacing w:after="200" w:line="360"/>
      </w:pPr>
      <w:r>
        <w:rPr>
          <w:rFonts w:ascii="Times New Roman" w:cs="Times New Roman" w:eastAsia="Times New Roman" w:hAnsi="Times New Roman"/>
          <w:sz w:val="24"/>
          <w:szCs w:val="24"/>
        </w:rPr>
        <w:t xml:space="preserve">This study contributes to the ongoing evaluation of KT methods by providing a systematic benchmark with the following characteristics: (a) five models spanning three methodological generations (Bayesian, logistic, and deep learning), (b) five publicly available datasets commonly used in the KT literature, (c) a consistent evaluation protocol using student-level 5-fold cross-validation with a common prediction mask to prevent data leakage and ensure fair comparison, (d) five complementary metrics capturing discrimination (AUC-ROC), ranking under class imbalance (PR-AUC), prediction error (RMSE), classification performance (accuracy, F1), and computational efficiency (training time), and (e) 95% bootstrap confidence intervals for primary metrics. The goal is to provide the research community with a transparent, reproducible comparison that can inform model selection decisions for both researchers and practitioners.</w:t>
      </w:r>
    </w:p>
    <w:p>
      <w:pPr>
        <w:pStyle w:val="Heading1"/>
        <w:spacing w:after="200" w:before="360"/>
      </w:pPr>
      <w:r>
        <w:rPr>
          <w:rFonts w:ascii="Times New Roman" w:cs="Times New Roman" w:eastAsia="Times New Roman" w:hAnsi="Times New Roman"/>
          <w:b/>
          <w:bCs/>
          <w:sz w:val="28"/>
          <w:szCs w:val="28"/>
        </w:rPr>
        <w:t xml:space="preserve">Method</w:t>
      </w:r>
    </w:p>
    <w:p>
      <w:pPr>
        <w:spacing w:after="200" w:line="360"/>
      </w:pPr>
      <w:r>
        <w:rPr>
          <w:rFonts w:ascii="Times New Roman" w:cs="Times New Roman" w:eastAsia="Times New Roman" w:hAnsi="Times New Roman"/>
          <w:sz w:val="24"/>
          <w:szCs w:val="24"/>
        </w:rPr>
        <w:t xml:space="preserve">Five publicly available educational datasets were selected for this benchmark, chosen for their widespread use in prior KT research and their diversity in terms of domain, scale, and student population characteristics. Table 1 presents descriptive statistics for each dataset.</w:t>
      </w:r>
    </w:p>
    <w:p>
      <w:pPr>
        <w:spacing w:after="200" w:line="360"/>
      </w:pPr>
      <w:r>
        <w:rPr>
          <w:rFonts w:ascii="Times New Roman" w:cs="Times New Roman" w:eastAsia="Times New Roman" w:hAnsi="Times New Roman"/>
          <w:sz w:val="24"/>
          <w:szCs w:val="24"/>
        </w:rPr>
        <w:t xml:space="preserve">The ASSISTments datasets (2009, 2015, and 2017) originate from the ASSISTments online tutoring platform, which serves middle and high school mathematics students (Feng et al., 2009). The three versions differ substantially in their characteristics: ASSISTments 2009 contains a moderate number of students with a balanced correct rate; ASSISTments 2015 has the most students but the fewest items per skill; and ASSISTments 2017 has the lowest correct rate (0.374), indicating substantially more challenging content or a different student population.</w:t>
      </w:r>
    </w:p>
    <w:p>
      <w:pPr>
        <w:spacing w:after="200" w:line="360"/>
      </w:pPr>
      <w:r>
        <w:rPr>
          <w:rFonts w:ascii="Times New Roman" w:cs="Times New Roman" w:eastAsia="Times New Roman" w:hAnsi="Times New Roman"/>
          <w:sz w:val="24"/>
          <w:szCs w:val="24"/>
        </w:rPr>
        <w:t xml:space="preserve">The Statics 2011 dataset was collected from a college-level engineering statics course hosted on the Open Learning Initiative platform (Koedinger et al., 2010). It features the smallest student population (N = 282) but the longest average interaction sequences (M = 671.3 interactions per student), providing a unique test of model performance on long temporal sequences with limited student diversity.</w:t>
      </w:r>
    </w:p>
    <w:p>
      <w:pPr>
        <w:spacing w:after="200" w:line="360"/>
      </w:pPr>
      <w:r>
        <w:rPr>
          <w:rFonts w:ascii="Times New Roman" w:cs="Times New Roman" w:eastAsia="Times New Roman" w:hAnsi="Times New Roman"/>
          <w:sz w:val="24"/>
          <w:szCs w:val="24"/>
        </w:rPr>
        <w:t xml:space="preserve">The Algebra 2005 dataset originates from the KDD Cup 2010 challenge and was collected from high school algebra courses using the Cognitive Tutor system (Stamper et al., 2010). It contains the most items (173,113) and the longest average sequences (M = 1,070.5 interactions per student), presenting a challenge for models that must generalize across a large item space.</w:t>
      </w:r>
    </w:p>
    <w:p>
      <w:pPr>
        <w:spacing w:after="200" w:line="360"/>
      </w:pPr>
      <w:r>
        <w:rPr>
          <w:rFonts w:ascii="Times New Roman" w:cs="Times New Roman" w:eastAsia="Times New Roman" w:hAnsi="Times New Roman"/>
          <w:sz w:val="24"/>
          <w:szCs w:val="24"/>
        </w:rPr>
        <w:t xml:space="preserve">All datasets were obtained in preprocessed form from a publicly available standardized repository (https://github.com/theophilee/learner-performance-prediction), which provides a consistent schema with five columns: user_id, item_id, timestamp, correct, and skill_id. This repository has been widely used in KT benchmarking studies. No missing values were present in any dataset after preprocessing.</w:t>
      </w:r>
    </w:p>
    <w:p>
      <w:pPr>
        <w:pStyle w:val="Heading2"/>
        <w:spacing w:after="200" w:before="360"/>
      </w:pPr>
      <w:r>
        <w:rPr>
          <w:rFonts w:ascii="Times New Roman" w:cs="Times New Roman" w:eastAsia="Times New Roman" w:hAnsi="Times New Roman"/>
          <w:b/>
          <w:bCs/>
          <w:sz w:val="26"/>
          <w:szCs w:val="26"/>
        </w:rPr>
        <w:t xml:space="preserve">Data preprocessing</w:t>
      </w:r>
    </w:p>
    <w:p>
      <w:pPr>
        <w:spacing w:after="200" w:line="360"/>
      </w:pPr>
      <w:r>
        <w:rPr>
          <w:rFonts w:ascii="Times New Roman" w:cs="Times New Roman" w:eastAsia="Times New Roman" w:hAnsi="Times New Roman"/>
          <w:sz w:val="24"/>
          <w:szCs w:val="24"/>
        </w:rPr>
        <w:t xml:space="preserve">Prior to model training, several preprocessing steps were applied to ensure comparability across datasets and models.</w:t>
      </w:r>
    </w:p>
    <w:p>
      <w:pPr>
        <w:pStyle w:val="Heading2"/>
        <w:spacing w:after="200" w:before="360"/>
      </w:pPr>
      <w:r>
        <w:rPr>
          <w:rFonts w:ascii="Times New Roman" w:cs="Times New Roman" w:eastAsia="Times New Roman" w:hAnsi="Times New Roman"/>
          <w:b/>
          <w:bCs/>
          <w:sz w:val="26"/>
          <w:szCs w:val="26"/>
        </w:rPr>
        <w:t xml:space="preserve">Models</w:t>
      </w:r>
    </w:p>
    <w:p>
      <w:pPr>
        <w:spacing w:after="200" w:line="360"/>
      </w:pPr>
      <w:r>
        <w:rPr>
          <w:rFonts w:ascii="Times New Roman" w:cs="Times New Roman" w:eastAsia="Times New Roman" w:hAnsi="Times New Roman"/>
          <w:sz w:val="24"/>
          <w:szCs w:val="24"/>
        </w:rPr>
        <w:t xml:space="preserve">Five KT models were evaluated, representing three generations of approaches.</w:t>
      </w:r>
    </w:p>
    <w:p>
      <w:pPr>
        <w:pStyle w:val="Heading2"/>
        <w:spacing w:after="200" w:before="360"/>
      </w:pPr>
      <w:r>
        <w:rPr>
          <w:rFonts w:ascii="Times New Roman" w:cs="Times New Roman" w:eastAsia="Times New Roman" w:hAnsi="Times New Roman"/>
          <w:b/>
          <w:bCs/>
          <w:sz w:val="26"/>
          <w:szCs w:val="26"/>
        </w:rPr>
        <w:t xml:space="preserve">Evaluation metrics</w:t>
      </w:r>
    </w:p>
    <w:p>
      <w:pPr>
        <w:spacing w:after="200" w:line="360"/>
      </w:pPr>
      <w:r>
        <w:rPr>
          <w:rFonts w:ascii="Times New Roman" w:cs="Times New Roman" w:eastAsia="Times New Roman" w:hAnsi="Times New Roman"/>
          <w:sz w:val="24"/>
          <w:szCs w:val="24"/>
        </w:rPr>
        <w:t xml:space="preserve">Five complementary metrics were used to evaluate model performance, all computed on the common prediction mask.</w:t>
      </w:r>
    </w:p>
    <w:p>
      <w:pPr>
        <w:spacing w:after="200" w:line="360"/>
      </w:pPr>
      <w:r>
        <w:rPr>
          <w:rFonts w:ascii="Times New Roman" w:cs="Times New Roman" w:eastAsia="Times New Roman" w:hAnsi="Times New Roman"/>
          <w:sz w:val="24"/>
          <w:szCs w:val="24"/>
        </w:rPr>
        <w:t xml:space="preserve">All metrics were computed on held-out test data for each fold using the common prediction mask, and we report means and standard deviations across the five folds. Additionally, 95% student-clustered bootstrap confidence intervals (1,000 bootstrap samples) are reported for AUC-ROC and PR-AUC to facilitate pairwise model comparisons. The clustered bootstrap resamples students with replacement (rather than individual interactions), correctly accounting for within-student correlation and producing appropriately conservative intervals.</w:t>
      </w:r>
    </w:p>
    <w:p>
      <w:pPr>
        <w:pStyle w:val="Heading2"/>
        <w:spacing w:after="200" w:before="360"/>
      </w:pPr>
      <w:r>
        <w:rPr>
          <w:rFonts w:ascii="Times New Roman" w:cs="Times New Roman" w:eastAsia="Times New Roman" w:hAnsi="Times New Roman"/>
          <w:b/>
          <w:bCs/>
          <w:sz w:val="26"/>
          <w:szCs w:val="26"/>
        </w:rPr>
        <w:t xml:space="preserve">Reproducibility</w:t>
      </w:r>
    </w:p>
    <w:p>
      <w:pPr>
        <w:spacing w:after="200" w:line="360"/>
      </w:pPr>
      <w:r>
        <w:rPr>
          <w:rFonts w:ascii="Times New Roman" w:cs="Times New Roman" w:eastAsia="Times New Roman" w:hAnsi="Times New Roman"/>
          <w:sz w:val="24"/>
          <w:szCs w:val="24"/>
        </w:rPr>
        <w:t xml:space="preserve">Full seed control was implemented to ensure reproducibility. Random seeds were fixed for NumPy, PyTorch (including CUDA and cuDNN deterministic mode), and DataLoader worker initialization. The complete analysis code, including data preprocessing, model implementations, and evaluation scripts, is available at https://github.com/iraklimatch/Benchmarking-knowledge-tracing-methods.</w:t>
      </w:r>
    </w:p>
    <w:p>
      <w:pPr>
        <w:pStyle w:val="Heading2"/>
        <w:spacing w:after="200" w:before="360"/>
      </w:pPr>
      <w:r>
        <w:rPr>
          <w:rFonts w:ascii="Times New Roman" w:cs="Times New Roman" w:eastAsia="Times New Roman" w:hAnsi="Times New Roman"/>
          <w:b/>
          <w:bCs/>
          <w:sz w:val="26"/>
          <w:szCs w:val="26"/>
        </w:rPr>
        <w:t xml:space="preserve">Computational environment</w:t>
      </w:r>
    </w:p>
    <w:p>
      <w:pPr>
        <w:spacing w:after="200" w:line="360"/>
      </w:pPr>
      <w:r>
        <w:rPr>
          <w:rFonts w:ascii="Times New Roman" w:cs="Times New Roman" w:eastAsia="Times New Roman" w:hAnsi="Times New Roman"/>
          <w:sz w:val="24"/>
          <w:szCs w:val="24"/>
        </w:rPr>
        <w:t xml:space="preserve">All experiments were conducted on a consumer-grade machine running macOS (Darwin 25.3.0) with a 3.9 GHz CPU. Deep learning models were trained on CPU using PyTorch 2.8.0. No GPU acceleration was used, providing a realistic assessment of computational costs for researchers without access to specialized hardware.</w:t>
      </w:r>
    </w:p>
    <w:p>
      <w:r>
        <w:br w:type="page"/>
      </w:r>
    </w:p>
    <w:p>
      <w:pPr>
        <w:pStyle w:val="Heading1"/>
        <w:spacing w:after="200" w:before="360"/>
      </w:pPr>
      <w:r>
        <w:rPr>
          <w:rFonts w:ascii="Times New Roman" w:cs="Times New Roman" w:eastAsia="Times New Roman" w:hAnsi="Times New Roman"/>
          <w:b/>
          <w:bCs/>
          <w:sz w:val="28"/>
          <w:szCs w:val="28"/>
        </w:rPr>
        <w:t xml:space="preserve">Results</w:t>
      </w:r>
    </w:p>
    <w:p>
      <w:pPr>
        <w:spacing w:after="200" w:line="360"/>
      </w:pPr>
      <w:r>
        <w:rPr>
          <w:rFonts w:ascii="Times New Roman" w:cs="Times New Roman" w:eastAsia="Times New Roman" w:hAnsi="Times New Roman"/>
          <w:sz w:val="24"/>
          <w:szCs w:val="24"/>
        </w:rPr>
        <w:t xml:space="preserve">Table 2 presents the mean AUC-ROC and standard deviation across five folds for all model-dataset combinations. DKT achieved the highest AUC-ROC on all five datasets. Figure 1 provides a visual comparison of AUC-ROC scores with error bars representing the standard deviation across folds.</w:t>
      </w:r>
    </w:p>
    <w:p>
      <w:pPr>
        <w:spacing w:after="80" w:before="240"/>
      </w:pPr>
      <w:r>
        <w:rPr>
          <w:rFonts w:ascii="Times New Roman" w:cs="Times New Roman" w:eastAsia="Times New Roman" w:hAnsi="Times New Roman"/>
          <w:b/>
          <w:bCs/>
          <w:sz w:val="24"/>
          <w:szCs w:val="24"/>
        </w:rPr>
        <w:t xml:space="preserve">Table 2</w:t>
      </w:r>
    </w:p>
    <w:p>
      <w:pPr>
        <w:spacing w:after="120"/>
      </w:pPr>
      <w:r>
        <w:rPr>
          <w:rFonts w:ascii="Times New Roman" w:cs="Times New Roman" w:eastAsia="Times New Roman" w:hAnsi="Times New Roman"/>
          <w:i/>
          <w:iCs/>
          <w:sz w:val="24"/>
          <w:szCs w:val="24"/>
        </w:rPr>
        <w:t xml:space="preserve">Mean AUC-ROC (and standard deviation) by model and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600"/>
      </w:tblGrid>
      <w:tr>
        <w:tc>
          <w:tcPr>
            <w:tcW w:type="dxa" w:w="18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Dataset</w:t>
            </w:r>
          </w:p>
        </w:tc>
        <w:tc>
          <w:tcPr>
            <w:tcW w:type="dxa" w:w="14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BKT</w:t>
            </w:r>
          </w:p>
        </w:tc>
        <w:tc>
          <w:tcPr>
            <w:tcW w:type="dxa" w:w="14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PFA</w:t>
            </w:r>
          </w:p>
        </w:tc>
        <w:tc>
          <w:tcPr>
            <w:tcW w:type="dxa" w:w="14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DKT</w:t>
            </w:r>
          </w:p>
        </w:tc>
        <w:tc>
          <w:tcPr>
            <w:tcW w:type="dxa" w:w="14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SAKT</w:t>
            </w:r>
          </w:p>
        </w:tc>
        <w:tc>
          <w:tcPr>
            <w:tcW w:type="dxa" w:w="16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TransformerKT</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ASSISTments 2009</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.706 (.005)</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.701 (.005)</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.735 (.006)</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.723 (.006)</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.728 (.006)</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ASSISTments 2015</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.668 (.002)</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.678 (.001)</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.717 (.001)</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.702 (.002)</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.707 (.002)</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ASSISTments 2017</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.641 (.003)</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.631 (.004)</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.677 (.003)</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.646 (.003)</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.659 (.004)</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Statics 2011</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.656 (.006)</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.661 (.007)</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.698 (.011)</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.676 (.009)</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.690 (.010)</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Algebra 2005</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.753 (.007)</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.751 (.008)</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.796 (.006)</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.775 (.007)</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.793 (.007)</w:t>
            </w:r>
          </w:p>
        </w:tc>
      </w:tr>
      <w:tr>
        <w:tc>
          <w:tcPr>
            <w:tcW w:type="dxa" w:w="1800"/>
            <w:tcBorders>
              <w:top w:val="none" w:sz="0"/>
              <w:left w:val="none" w:sz="0"/>
              <w:bottom w:val="single" w:color="000000"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Macro avg.</w:t>
            </w:r>
          </w:p>
        </w:tc>
        <w:tc>
          <w:tcPr>
            <w:tcW w:type="dxa" w:w="14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.685</w:t>
            </w:r>
          </w:p>
        </w:tc>
        <w:tc>
          <w:tcPr>
            <w:tcW w:type="dxa" w:w="14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.685</w:t>
            </w:r>
          </w:p>
        </w:tc>
        <w:tc>
          <w:tcPr>
            <w:tcW w:type="dxa" w:w="14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.725</w:t>
            </w:r>
          </w:p>
        </w:tc>
        <w:tc>
          <w:tcPr>
            <w:tcW w:type="dxa" w:w="14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.704</w:t>
            </w:r>
          </w:p>
        </w:tc>
        <w:tc>
          <w:tcPr>
            <w:tcW w:type="dxa" w:w="16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.715</w:t>
            </w:r>
          </w:p>
        </w:tc>
      </w:tr>
    </w:tbl>
    <w:p>
      <w:pPr>
        <w:spacing w:after="200" w:line="360"/>
      </w:pPr>
      <w:r>
        <w:rPr>
          <w:rFonts w:ascii="Times New Roman" w:cs="Times New Roman" w:eastAsia="Times New Roman" w:hAnsi="Times New Roman"/>
          <w:i/>
          <w:iCs/>
          <w:sz w:val="24"/>
          <w:szCs w:val="24"/>
        </w:rPr>
        <w:t xml:space="preserve">Mean AUC-ROC (and standard deviation) by model and dataset, based on 5-fold student-level cross-validation</w:t>
      </w:r>
    </w:p>
    <w:p>
      <w:pPr>
        <w:spacing w:after="200" w:line="360"/>
      </w:pPr>
      <w:r>
        <w:rPr>
          <w:rFonts w:ascii="Times New Roman" w:cs="Times New Roman" w:eastAsia="Times New Roman" w:hAnsi="Times New Roman"/>
          <w:sz w:val="24"/>
          <w:szCs w:val="24"/>
        </w:rPr>
        <w:t xml:space="preserve">Several patterns are evident. First, deep learning methods (DKT, SAKT, TransformerKT) consistently outperform classical methods (BKT, PFA) across all datasets. Second, the performance gap between classical and deep learning approaches varies by dataset, ranging from 2.9 AUC percentage points on ASSISTments 2009 (BKT: .706, DKT: .735) to 4.9 points on ASSISTments 2015 (BKT: .668, DKT: .717). Third, among deep learning methods, DKT generally achieves the highest AUC-ROC, with TransformerKT as a close second and SAKT behind both.</w:t>
      </w:r>
    </w:p>
    <w:p>
      <w:pPr>
        <w:pStyle w:val="Heading2"/>
        <w:spacing w:after="200" w:before="360"/>
      </w:pPr>
      <w:r>
        <w:rPr>
          <w:rFonts w:ascii="Times New Roman" w:cs="Times New Roman" w:eastAsia="Times New Roman" w:hAnsi="Times New Roman"/>
          <w:b/>
          <w:bCs/>
          <w:sz w:val="26"/>
          <w:szCs w:val="26"/>
        </w:rPr>
        <w:t xml:space="preserve">PR-AUC comparison</w:t>
      </w:r>
    </w:p>
    <w:p>
      <w:pPr>
        <w:spacing w:after="200" w:line="360"/>
      </w:pPr>
      <w:r>
        <w:rPr>
          <w:rFonts w:ascii="Times New Roman" w:cs="Times New Roman" w:eastAsia="Times New Roman" w:hAnsi="Times New Roman"/>
          <w:sz w:val="24"/>
          <w:szCs w:val="24"/>
        </w:rPr>
        <w:t xml:space="preserve">Figure 2 presents the PR-AUC results. Table 3 includes PR-AUC alongside other metrics. PR-AUC is particularly revealing for ASSISTments 2017, where the 37.4% correct rate makes this metric more sensitive to model differences than AUC-ROC. On this dataset, all models achieve PR-AUC below 0.57, with DKT (0.561) outperforming the next-best model (TransformerKT: 0.547) by a wider margin than observed in AUC-ROC. On datasets with higher correct rates (Algebra 2005: 75.5% correct), PR-AUC values are uniformly high (0.90 to 0.92) and model differences are compressed.</w:t>
      </w:r>
    </w:p>
    <w:p>
      <w:pPr>
        <w:spacing w:after="120" w:before="240"/>
        <w:jc w:val="center"/>
      </w:pPr>
      <w:r>
        <w:drawing>
          <wp:inline distT="0" distB="0" distL="0" distR="0">
            <wp:extent cx="5238750" cy="2619375"/>
            <wp:effectExtent t="0" r="0" b="0" l="0"/>
            <wp:docPr id="1" name="fig2_prauc_comparison.png" descr="Figure 2. Area under the precision-recall curve by model and dataset" title="Figure 2. Area under the precision-recall curve by model an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619375"/>
                    </a:xfrm>
                    <a:prstGeom prst="rect">
                      <a:avLst/>
                    </a:prstGeom>
                  </pic:spPr>
                </pic:pic>
              </a:graphicData>
            </a:graphic>
          </wp:inline>
        </w:drawing>
      </w:r>
    </w:p>
    <w:p>
      <w:pPr>
        <w:spacing w:after="360"/>
        <w:jc w:val="left"/>
      </w:pPr>
      <w:r>
        <w:rPr>
          <w:rFonts w:ascii="Times New Roman" w:cs="Times New Roman" w:eastAsia="Times New Roman" w:hAnsi="Times New Roman"/>
          <w:i/>
          <w:iCs/>
          <w:sz w:val="24"/>
          <w:szCs w:val="24"/>
        </w:rPr>
        <w:t xml:space="preserve">Figure 2. Area under the precision-recall curve by model and dataset</w:t>
      </w:r>
    </w:p>
    <w:p>
      <w:pPr>
        <w:pStyle w:val="Heading2"/>
        <w:spacing w:after="200" w:before="360"/>
      </w:pPr>
      <w:r>
        <w:rPr>
          <w:rFonts w:ascii="Times New Roman" w:cs="Times New Roman" w:eastAsia="Times New Roman" w:hAnsi="Times New Roman"/>
          <w:b/>
          <w:bCs/>
          <w:sz w:val="26"/>
          <w:szCs w:val="26"/>
        </w:rPr>
        <w:t xml:space="preserve">Multi-metric comparison</w:t>
      </w:r>
    </w:p>
    <w:p>
      <w:pPr>
        <w:spacing w:after="200" w:line="360"/>
      </w:pPr>
      <w:r>
        <w:rPr>
          <w:rFonts w:ascii="Times New Roman" w:cs="Times New Roman" w:eastAsia="Times New Roman" w:hAnsi="Times New Roman"/>
          <w:sz w:val="24"/>
          <w:szCs w:val="24"/>
        </w:rPr>
        <w:t xml:space="preserve">Table 3 presents the complete multi-metric results across all datasets and models.</w:t>
      </w:r>
    </w:p>
    <w:p>
      <w:pPr>
        <w:spacing w:after="80" w:before="240"/>
      </w:pPr>
      <w:r>
        <w:rPr>
          <w:rFonts w:ascii="Times New Roman" w:cs="Times New Roman" w:eastAsia="Times New Roman" w:hAnsi="Times New Roman"/>
          <w:b/>
          <w:bCs/>
          <w:sz w:val="24"/>
          <w:szCs w:val="24"/>
        </w:rPr>
        <w:t xml:space="preserve">Table 3</w:t>
      </w:r>
    </w:p>
    <w:p>
      <w:pPr>
        <w:spacing w:after="120"/>
      </w:pPr>
      <w:r>
        <w:rPr>
          <w:rFonts w:ascii="Times New Roman" w:cs="Times New Roman" w:eastAsia="Times New Roman" w:hAnsi="Times New Roman"/>
          <w:i/>
          <w:iCs/>
          <w:sz w:val="24"/>
          <w:szCs w:val="24"/>
        </w:rPr>
        <w:t xml:space="preserve">Complete benchmark results: mean values across 5-fold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100"/>
        <w:gridCol w:w="1100"/>
        <w:gridCol w:w="1100"/>
        <w:gridCol w:w="900"/>
        <w:gridCol w:w="1100"/>
      </w:tblGrid>
      <w:tr>
        <w:tc>
          <w:tcPr>
            <w:tcW w:type="dxa" w:w="16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Dataset</w:t>
            </w:r>
          </w:p>
        </w:tc>
        <w:tc>
          <w:tcPr>
            <w:tcW w:type="dxa" w:w="14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Model</w:t>
            </w:r>
          </w:p>
        </w:tc>
        <w:tc>
          <w:tcPr>
            <w:tcW w:type="dxa" w:w="11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AUC-ROC</w:t>
            </w:r>
          </w:p>
        </w:tc>
        <w:tc>
          <w:tcPr>
            <w:tcW w:type="dxa" w:w="11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PR-AUC</w:t>
            </w:r>
          </w:p>
        </w:tc>
        <w:tc>
          <w:tcPr>
            <w:tcW w:type="dxa" w:w="11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Accuracy</w:t>
            </w:r>
          </w:p>
        </w:tc>
        <w:tc>
          <w:tcPr>
            <w:tcW w:type="dxa" w:w="9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F1</w:t>
            </w:r>
          </w:p>
        </w:tc>
        <w:tc>
          <w:tcPr>
            <w:tcW w:type="dxa" w:w="11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RMSE</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ASSISTments 2009</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BKT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.706</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.793</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.707</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.799</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.444</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PFA</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.701</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.791</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.694</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.795</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.448</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DKT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.735</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.821</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.716</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.801</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.435</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SAKT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.723</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.812</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.707</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.797</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.441</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TransformerKT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.728</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.815</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.712</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.801</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.438</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ASSISTments 2015</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BKT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.668</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.826</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.728</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.834</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.433</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PFA</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.678</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.838</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.724</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.834</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.432</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DKT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.717</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.863</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.731</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.835</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.423</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SAKT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.702</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.853</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.728</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.834</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.427</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TransformerKT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.707</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.855</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.732</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.836</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.425</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ASSISTments 2017</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BKT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.641</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.517</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.659</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.327</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.467</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PFA</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.631</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.499</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.650</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.257</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.469</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DKT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.677</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.561</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.673</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.415</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.458</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SAKT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.646</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.525</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.662</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.341</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.466</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TransformerKT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.659</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.547</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.672</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.374</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.462</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Statics 2011</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BKT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.656</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.856</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.767</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.865</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.410</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PFA</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.661</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.862</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.767</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.867</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.411</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DKT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.698</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.880</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.770</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.868</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.404</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SAKT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.676</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.869</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.767</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.867</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.408</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TransformerKT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.690</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.875</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.769</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.868</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.405</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Algebra 2005</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BKT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.753</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.902</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.799</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.879</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.382</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PFA</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.751</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.902</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.796</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.879</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.384</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DKT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.796</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.922</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.809</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.885</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.370</w:t>
            </w:r>
          </w:p>
        </w:tc>
      </w:tr>
      <w:tr>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SAKT</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.775</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.913</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.802</w:t>
            </w:r>
          </w:p>
        </w:tc>
        <w:tc>
          <w:tcPr>
            <w:tcW w:type="dxa" w:w="9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.881</w:t>
            </w:r>
          </w:p>
        </w:tc>
        <w:tc>
          <w:tcPr>
            <w:tcW w:type="dxa" w:w="11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.377</w:t>
            </w:r>
          </w:p>
        </w:tc>
      </w:tr>
      <w:tr>
        <w:tc>
          <w:tcPr>
            <w:tcW w:type="dxa" w:w="1600"/>
            <w:tcBorders>
              <w:top w:val="none" w:sz="0"/>
              <w:left w:val="none" w:sz="0"/>
              <w:bottom w:val="single" w:color="000000"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
            </w:r>
          </w:p>
        </w:tc>
        <w:tc>
          <w:tcPr>
            <w:tcW w:type="dxa" w:w="14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TransformerKT</w:t>
            </w:r>
          </w:p>
        </w:tc>
        <w:tc>
          <w:tcPr>
            <w:tcW w:type="dxa" w:w="11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.793</w:t>
            </w:r>
          </w:p>
        </w:tc>
        <w:tc>
          <w:tcPr>
            <w:tcW w:type="dxa" w:w="11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.921</w:t>
            </w:r>
          </w:p>
        </w:tc>
        <w:tc>
          <w:tcPr>
            <w:tcW w:type="dxa" w:w="11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.810</w:t>
            </w:r>
          </w:p>
        </w:tc>
        <w:tc>
          <w:tcPr>
            <w:tcW w:type="dxa" w:w="9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.886</w:t>
            </w:r>
          </w:p>
        </w:tc>
        <w:tc>
          <w:tcPr>
            <w:tcW w:type="dxa" w:w="11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.370</w:t>
            </w:r>
          </w:p>
        </w:tc>
      </w:tr>
    </w:tbl>
    <w:p>
      <w:pPr>
        <w:spacing w:after="200" w:line="360"/>
      </w:pPr>
      <w:r>
        <w:rPr>
          <w:rFonts w:ascii="Times New Roman" w:cs="Times New Roman" w:eastAsia="Times New Roman" w:hAnsi="Times New Roman"/>
          <w:i/>
          <w:iCs/>
          <w:sz w:val="24"/>
          <w:szCs w:val="24"/>
        </w:rPr>
        <w:t xml:space="preserve">Complete benchmark results: mean values across 5-fold cross-validation (common prediction mask applied)</w:t>
      </w:r>
    </w:p>
    <w:p>
      <w:pPr>
        <w:spacing w:after="200" w:line="360"/>
      </w:pPr>
      <w:r>
        <w:rPr>
          <w:rFonts w:ascii="Times New Roman" w:cs="Times New Roman" w:eastAsia="Times New Roman" w:hAnsi="Times New Roman"/>
          <w:sz w:val="24"/>
          <w:szCs w:val="24"/>
        </w:rPr>
        <w:t xml:space="preserve">Several observations emerge from the multi-metric comparison. While AUC-ROC differences between models are substantial, accuracy and F1 differences are considerably smaller. For example, on Statics 2011, the AUC-ROC difference between BKT (0.657) and DKT (0.698) is 4.1 percentage points, but the accuracy difference is only 0.2 percentage points (0.768 vs. 0.770). This divergence occurs because accuracy is sensitive to the classification threshold and the base rate of correctness. On datasets with high correct rates (Statics 2011: 76.5%, Algebra 2005: 75.5%), a model that predicts the majority class achieves high accuracy without learning meaningful patterns.</w:t>
      </w:r>
    </w:p>
    <w:p>
      <w:pPr>
        <w:spacing w:after="200" w:line="360"/>
      </w:pPr>
      <w:r>
        <w:rPr>
          <w:rFonts w:ascii="Times New Roman" w:cs="Times New Roman" w:eastAsia="Times New Roman" w:hAnsi="Times New Roman"/>
          <w:sz w:val="24"/>
          <w:szCs w:val="24"/>
        </w:rPr>
        <w:t xml:space="preserve">The ASSISTments 2017 dataset presents a notable anomaly. PFA achieves an F1 score of only 0.258, far below all other models. This occurs because ASSISTments 2017 has the lowest correct rate (37.4%), and PFA's logistic regression model predicts most interactions as incorrect, resulting in very low recall for the positive class. BKT and the deep learning models handle this imbalance somewhat more effectively, though F1 remains low for all models on this dataset.</w:t>
      </w:r>
    </w:p>
    <w:p>
      <w:pPr>
        <w:spacing w:after="200" w:line="360"/>
      </w:pPr>
      <w:r>
        <w:rPr>
          <w:rFonts w:ascii="Times New Roman" w:cs="Times New Roman" w:eastAsia="Times New Roman" w:hAnsi="Times New Roman"/>
          <w:sz w:val="24"/>
          <w:szCs w:val="24"/>
        </w:rPr>
        <w:t xml:space="preserve">Figure 3 presents the RMSE comparison across all datasets, showing that DKT and TransformerKT achieve the lowest RMSE on every dataset.</w:t>
      </w:r>
    </w:p>
    <w:p>
      <w:pPr>
        <w:spacing w:after="120" w:before="240"/>
        <w:jc w:val="center"/>
      </w:pPr>
      <w:r>
        <w:drawing>
          <wp:inline distT="0" distB="0" distL="0" distR="0">
            <wp:extent cx="5238750" cy="2619375"/>
            <wp:effectExtent t="0" r="0" b="0" l="0"/>
            <wp:docPr id="1" name="fig3_rmse_comparison.png" descr="Figure 3. Root mean square error by model and dataset" title="Figure 3. Root mean square error by model an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619375"/>
                    </a:xfrm>
                    <a:prstGeom prst="rect">
                      <a:avLst/>
                    </a:prstGeom>
                  </pic:spPr>
                </pic:pic>
              </a:graphicData>
            </a:graphic>
          </wp:inline>
        </w:drawing>
      </w:r>
    </w:p>
    <w:p>
      <w:pPr>
        <w:spacing w:after="360"/>
        <w:jc w:val="left"/>
      </w:pPr>
      <w:r>
        <w:rPr>
          <w:rFonts w:ascii="Times New Roman" w:cs="Times New Roman" w:eastAsia="Times New Roman" w:hAnsi="Times New Roman"/>
          <w:i/>
          <w:iCs/>
          <w:sz w:val="24"/>
          <w:szCs w:val="24"/>
        </w:rPr>
        <w:t xml:space="preserve">Figure 3. Root mean square error by model and dataset</w:t>
      </w:r>
    </w:p>
    <w:p>
      <w:pPr>
        <w:pStyle w:val="Heading2"/>
        <w:spacing w:after="200" w:before="360"/>
      </w:pPr>
      <w:r>
        <w:rPr>
          <w:rFonts w:ascii="Times New Roman" w:cs="Times New Roman" w:eastAsia="Times New Roman" w:hAnsi="Times New Roman"/>
          <w:b/>
          <w:bCs/>
          <w:sz w:val="26"/>
          <w:szCs w:val="26"/>
        </w:rPr>
        <w:t xml:space="preserve">Computational efficiency</w:t>
      </w:r>
    </w:p>
    <w:p>
      <w:pPr>
        <w:spacing w:after="200" w:line="360"/>
      </w:pPr>
      <w:r>
        <w:rPr>
          <w:rFonts w:ascii="Times New Roman" w:cs="Times New Roman" w:eastAsia="Times New Roman" w:hAnsi="Times New Roman"/>
          <w:sz w:val="24"/>
          <w:szCs w:val="24"/>
        </w:rPr>
        <w:t xml:space="preserve">Figure 4 and Table 4 present the training time per fold across all datasets.</w:t>
      </w:r>
    </w:p>
    <w:p>
      <w:pPr>
        <w:spacing w:after="120" w:before="240"/>
        <w:jc w:val="center"/>
      </w:pPr>
      <w:r>
        <w:drawing>
          <wp:inline distT="0" distB="0" distL="0" distR="0">
            <wp:extent cx="5238750" cy="2619375"/>
            <wp:effectExtent t="0" r="0" b="0" l="0"/>
            <wp:docPr id="1" name="fig4_training_time.png" descr="Figure 4. Average training time per fold by model and dataset" title="Figure 4. Average training time per fold by model an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619375"/>
                    </a:xfrm>
                    <a:prstGeom prst="rect">
                      <a:avLst/>
                    </a:prstGeom>
                  </pic:spPr>
                </pic:pic>
              </a:graphicData>
            </a:graphic>
          </wp:inline>
        </w:drawing>
      </w:r>
    </w:p>
    <w:p>
      <w:pPr>
        <w:spacing w:after="360"/>
        <w:jc w:val="left"/>
      </w:pPr>
      <w:r>
        <w:rPr>
          <w:rFonts w:ascii="Times New Roman" w:cs="Times New Roman" w:eastAsia="Times New Roman" w:hAnsi="Times New Roman"/>
          <w:i/>
          <w:iCs/>
          <w:sz w:val="24"/>
          <w:szCs w:val="24"/>
        </w:rPr>
        <w:t xml:space="preserve">Figure 4. Average training time per fold by model and dataset</w:t>
      </w:r>
    </w:p>
    <w:p>
      <w:pPr>
        <w:spacing w:after="80" w:before="240"/>
      </w:pPr>
      <w:r>
        <w:rPr>
          <w:rFonts w:ascii="Times New Roman" w:cs="Times New Roman" w:eastAsia="Times New Roman" w:hAnsi="Times New Roman"/>
          <w:b/>
          <w:bCs/>
          <w:sz w:val="24"/>
          <w:szCs w:val="24"/>
        </w:rPr>
        <w:t xml:space="preserve">Table 4</w:t>
      </w:r>
    </w:p>
    <w:p>
      <w:pPr>
        <w:spacing w:after="120"/>
      </w:pPr>
      <w:r>
        <w:rPr>
          <w:rFonts w:ascii="Times New Roman" w:cs="Times New Roman" w:eastAsia="Times New Roman" w:hAnsi="Times New Roman"/>
          <w:i/>
          <w:iCs/>
          <w:sz w:val="24"/>
          <w:szCs w:val="24"/>
        </w:rPr>
        <w:t xml:space="preserve">Average training time per fold in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200"/>
        <w:gridCol w:w="1000"/>
      </w:tblGrid>
      <w:tr>
        <w:tc>
          <w:tcPr>
            <w:tcW w:type="dxa" w:w="14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Model</w:t>
            </w:r>
          </w:p>
        </w:tc>
        <w:tc>
          <w:tcPr>
            <w:tcW w:type="dxa" w:w="12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ASSIST 09</w:t>
            </w:r>
          </w:p>
        </w:tc>
        <w:tc>
          <w:tcPr>
            <w:tcW w:type="dxa" w:w="12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ASSIST 15</w:t>
            </w:r>
          </w:p>
        </w:tc>
        <w:tc>
          <w:tcPr>
            <w:tcW w:type="dxa" w:w="12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ASSIST 17</w:t>
            </w:r>
          </w:p>
        </w:tc>
        <w:tc>
          <w:tcPr>
            <w:tcW w:type="dxa" w:w="12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Statics 11</w:t>
            </w:r>
          </w:p>
        </w:tc>
        <w:tc>
          <w:tcPr>
            <w:tcW w:type="dxa" w:w="12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Algebra 05</w:t>
            </w:r>
          </w:p>
        </w:tc>
        <w:tc>
          <w:tcPr>
            <w:tcW w:type="dxa" w:w="10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Mean</w:t>
            </w:r>
          </w:p>
        </w:tc>
      </w:tr>
      <w:tr>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BKT</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45.3</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141.5</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194.3</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24.8</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71.7</w:t>
            </w:r>
          </w:p>
        </w:tc>
        <w:tc>
          <w:tcPr>
            <w:tcW w:type="dxa" w:w="10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95.5</w:t>
            </w:r>
          </w:p>
        </w:tc>
      </w:tr>
      <w:tr>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PFA</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3.8</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1.4</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17.3</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11.0</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38.4</w:t>
            </w:r>
          </w:p>
        </w:tc>
        <w:tc>
          <w:tcPr>
            <w:tcW w:type="dxa" w:w="10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14.4</w:t>
            </w:r>
          </w:p>
        </w:tc>
      </w:tr>
      <w:tr>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DKT</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33.6</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79.5</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33.9</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9.2</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22.3</w:t>
            </w:r>
          </w:p>
        </w:tc>
        <w:tc>
          <w:tcPr>
            <w:tcW w:type="dxa" w:w="10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35.7</w:t>
            </w:r>
          </w:p>
        </w:tc>
      </w:tr>
      <w:tr>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SAKT</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26.9</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64.5</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19.9</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7.3</w:t>
            </w:r>
          </w:p>
        </w:tc>
        <w:tc>
          <w:tcPr>
            <w:tcW w:type="dxa" w:w="12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15.0</w:t>
            </w:r>
          </w:p>
        </w:tc>
        <w:tc>
          <w:tcPr>
            <w:tcW w:type="dxa" w:w="10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26.7</w:t>
            </w:r>
          </w:p>
        </w:tc>
      </w:tr>
      <w:tr>
        <w:tc>
          <w:tcPr>
            <w:tcW w:type="dxa" w:w="1400"/>
            <w:tcBorders>
              <w:top w:val="none" w:sz="0"/>
              <w:left w:val="none" w:sz="0"/>
              <w:bottom w:val="single" w:color="000000"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TransformerKT</w:t>
            </w:r>
          </w:p>
        </w:tc>
        <w:tc>
          <w:tcPr>
            <w:tcW w:type="dxa" w:w="12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98.1</w:t>
            </w:r>
          </w:p>
        </w:tc>
        <w:tc>
          <w:tcPr>
            <w:tcW w:type="dxa" w:w="12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253.3</w:t>
            </w:r>
          </w:p>
        </w:tc>
        <w:tc>
          <w:tcPr>
            <w:tcW w:type="dxa" w:w="12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77.2</w:t>
            </w:r>
          </w:p>
        </w:tc>
        <w:tc>
          <w:tcPr>
            <w:tcW w:type="dxa" w:w="12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28.8</w:t>
            </w:r>
          </w:p>
        </w:tc>
        <w:tc>
          <w:tcPr>
            <w:tcW w:type="dxa" w:w="12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58.6</w:t>
            </w:r>
          </w:p>
        </w:tc>
        <w:tc>
          <w:tcPr>
            <w:tcW w:type="dxa" w:w="10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103.2</w:t>
            </w:r>
          </w:p>
        </w:tc>
      </w:tr>
    </w:tbl>
    <w:p>
      <w:pPr>
        <w:spacing w:after="200" w:line="360"/>
      </w:pPr>
      <w:r>
        <w:rPr>
          <w:rFonts w:ascii="Times New Roman" w:cs="Times New Roman" w:eastAsia="Times New Roman" w:hAnsi="Times New Roman"/>
          <w:i/>
          <w:iCs/>
          <w:sz w:val="24"/>
          <w:szCs w:val="24"/>
        </w:rPr>
        <w:t xml:space="preserve">Average training time per fold in seconds</w:t>
      </w:r>
    </w:p>
    <w:p>
      <w:pPr>
        <w:spacing w:after="200" w:line="360"/>
      </w:pPr>
      <w:r>
        <w:rPr>
          <w:rFonts w:ascii="Times New Roman" w:cs="Times New Roman" w:eastAsia="Times New Roman" w:hAnsi="Times New Roman"/>
          <w:sz w:val="24"/>
          <w:szCs w:val="24"/>
        </w:rPr>
        <w:t xml:space="preserve">Training time varies substantially by model and dataset. PFA is the fastest model overall (M = 14.4 s per fold), followed by SAKT (M = 26.7 s), DKT (M = 35.7 s), BKT (M = 95.5 s), and TransformerKT (M = 103.2 s). BKT training time is dominated by the forward-backward EM algorithm applied independently to each skill; datasets with many skills (ASSISTments 2017: 411 skills) or many students (ASSISTments 2015: 14,228 students) are particularly expensive. TransformerKT is the most computationally expensive model, requiring approximately 2.9 times more training time than DKT on average. When considering the marginal AUC-ROC improvement of TransformerKT over DKT (0.715 vs. 0.725 in macro average, a gap of 0.9 percentage points in favor of DKT), the Transformer architecture does not justify its additional computational cost.</w:t>
      </w:r>
    </w:p>
    <w:p>
      <w:pPr>
        <w:pStyle w:val="Heading2"/>
        <w:spacing w:after="200" w:before="360"/>
      </w:pPr>
      <w:r>
        <w:rPr>
          <w:rFonts w:ascii="Times New Roman" w:cs="Times New Roman" w:eastAsia="Times New Roman" w:hAnsi="Times New Roman"/>
          <w:b/>
          <w:bCs/>
          <w:sz w:val="26"/>
          <w:szCs w:val="26"/>
        </w:rPr>
        <w:t xml:space="preserve">Stability across folds</w:t>
      </w:r>
    </w:p>
    <w:p>
      <w:pPr>
        <w:spacing w:after="200" w:line="360"/>
      </w:pPr>
      <w:r>
        <w:rPr>
          <w:rFonts w:ascii="Times New Roman" w:cs="Times New Roman" w:eastAsia="Times New Roman" w:hAnsi="Times New Roman"/>
          <w:sz w:val="24"/>
          <w:szCs w:val="24"/>
        </w:rPr>
        <w:t xml:space="preserve">Figure 5 presents the distribution of AUC-ROC scores across folds for each model, shown separately for each dataset. All models exhibit relatively low variance across folds (standard deviations ranging from 0.001 to 0.010), indicating stable performance under cross-validation. DKT shows consistently low variance across datasets. The largest fold-to-fold variance is observed on Statics 2011, which has the smallest student population (N = 282), leading to greater sampling variability in the fold splits.</w:t>
      </w:r>
    </w:p>
    <w:p>
      <w:pPr>
        <w:spacing w:after="120" w:before="240"/>
        <w:jc w:val="center"/>
      </w:pPr>
      <w:r>
        <w:drawing>
          <wp:inline distT="0" distB="0" distL="0" distR="0">
            <wp:extent cx="5715000" cy="1714500"/>
            <wp:effectExtent t="0" r="0" b="0" l="0"/>
            <wp:docPr id="1" name="fig5_stability.png" descr="Figure 5. Distribution of AUC-ROC scores across folds for each dataset" title="Figure 5. Distribution of AUC-ROC scores across folds for each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14500"/>
                    </a:xfrm>
                    <a:prstGeom prst="rect">
                      <a:avLst/>
                    </a:prstGeom>
                  </pic:spPr>
                </pic:pic>
              </a:graphicData>
            </a:graphic>
          </wp:inline>
        </w:drawing>
      </w:r>
    </w:p>
    <w:p>
      <w:pPr>
        <w:spacing w:after="360"/>
        <w:jc w:val="left"/>
      </w:pPr>
      <w:r>
        <w:rPr>
          <w:rFonts w:ascii="Times New Roman" w:cs="Times New Roman" w:eastAsia="Times New Roman" w:hAnsi="Times New Roman"/>
          <w:i/>
          <w:iCs/>
          <w:sz w:val="24"/>
          <w:szCs w:val="24"/>
        </w:rPr>
        <w:t xml:space="preserve">Figure 5. Distribution of AUC-ROC scores across folds for each dataset</w:t>
      </w:r>
    </w:p>
    <w:p>
      <w:pPr>
        <w:pStyle w:val="Heading2"/>
        <w:spacing w:after="200" w:before="360"/>
      </w:pPr>
      <w:r>
        <w:rPr>
          <w:rFonts w:ascii="Times New Roman" w:cs="Times New Roman" w:eastAsia="Times New Roman" w:hAnsi="Times New Roman"/>
          <w:b/>
          <w:bCs/>
          <w:sz w:val="26"/>
          <w:szCs w:val="26"/>
        </w:rPr>
        <w:t xml:space="preserve">Macro-averaged performance</w:t>
      </w:r>
    </w:p>
    <w:p>
      <w:pPr>
        <w:spacing w:after="200" w:line="360"/>
      </w:pPr>
      <w:r>
        <w:rPr>
          <w:rFonts w:ascii="Times New Roman" w:cs="Times New Roman" w:eastAsia="Times New Roman" w:hAnsi="Times New Roman"/>
          <w:sz w:val="24"/>
          <w:szCs w:val="24"/>
        </w:rPr>
        <w:t xml:space="preserve">Figure 6 presents the macro-averaged performance across all five datasets. The macro average gives equal weight to each dataset regardless of size, providing a summary that is not dominated by the larger datasets. DKT achieves the highest macro-averaged AUC-ROC (0.725), followed by TransformerKT (0.715), SAKT (0.704), and the classical methods (BKT: 0.685, PFA: 0.685). Notably, BKT and PFA achieve identical macro-averaged AUC-ROC despite employing fundamentally different modeling approaches, suggesting that they capture complementary aspects of student performance.</w:t>
      </w:r>
    </w:p>
    <w:p>
      <w:pPr>
        <w:spacing w:after="120" w:before="240"/>
        <w:jc w:val="center"/>
      </w:pPr>
      <w:r>
        <w:drawing>
          <wp:inline distT="0" distB="0" distL="0" distR="0">
            <wp:extent cx="4762500" cy="2619375"/>
            <wp:effectExtent t="0" r="0" b="0" l="0"/>
            <wp:docPr id="1" name="fig6_macro_average.png" descr="Figure 6. Macro-averaged performance across all five datasets" title="Figure 6. Macro-averaged performance across all five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19375"/>
                    </a:xfrm>
                    <a:prstGeom prst="rect">
                      <a:avLst/>
                    </a:prstGeom>
                  </pic:spPr>
                </pic:pic>
              </a:graphicData>
            </a:graphic>
          </wp:inline>
        </w:drawing>
      </w:r>
    </w:p>
    <w:p>
      <w:pPr>
        <w:spacing w:after="360"/>
        <w:jc w:val="left"/>
      </w:pPr>
      <w:r>
        <w:rPr>
          <w:rFonts w:ascii="Times New Roman" w:cs="Times New Roman" w:eastAsia="Times New Roman" w:hAnsi="Times New Roman"/>
          <w:i/>
          <w:iCs/>
          <w:sz w:val="24"/>
          <w:szCs w:val="24"/>
        </w:rPr>
        <w:t xml:space="preserve">Figure 6. Macro-averaged performance across all five datasets</w:t>
      </w:r>
    </w:p>
    <w:p>
      <w:pPr>
        <w:pStyle w:val="Heading2"/>
        <w:spacing w:after="200" w:before="360"/>
      </w:pPr>
      <w:r>
        <w:rPr>
          <w:rFonts w:ascii="Times New Roman" w:cs="Times New Roman" w:eastAsia="Times New Roman" w:hAnsi="Times New Roman"/>
          <w:b/>
          <w:bCs/>
          <w:sz w:val="26"/>
          <w:szCs w:val="26"/>
        </w:rPr>
        <w:t xml:space="preserve">Confidence intervals</w:t>
      </w:r>
    </w:p>
    <w:p>
      <w:pPr>
        <w:spacing w:after="200" w:line="360"/>
      </w:pPr>
      <w:r>
        <w:rPr>
          <w:rFonts w:ascii="Times New Roman" w:cs="Times New Roman" w:eastAsia="Times New Roman" w:hAnsi="Times New Roman"/>
          <w:sz w:val="24"/>
          <w:szCs w:val="24"/>
        </w:rPr>
        <w:t xml:space="preserve">Table 5 presents 95% student-clustered bootstrap confidence intervals for AUC-ROC, averaged across folds. The clustered bootstrap resamples students with replacement, accounting for within-student dependence and yielding intervals that are approximately 2 to 3 times wider than naive interaction-level resampling. These intervals support formal pairwise model comparisons: non-overlapping intervals indicate a statistically meaningful difference at the 95% level.</w:t>
      </w:r>
    </w:p>
    <w:p>
      <w:pPr>
        <w:spacing w:after="80" w:before="240"/>
      </w:pPr>
      <w:r>
        <w:rPr>
          <w:rFonts w:ascii="Times New Roman" w:cs="Times New Roman" w:eastAsia="Times New Roman" w:hAnsi="Times New Roman"/>
          <w:b/>
          <w:bCs/>
          <w:sz w:val="24"/>
          <w:szCs w:val="24"/>
        </w:rPr>
        <w:t xml:space="preserve">Table 5</w:t>
      </w:r>
    </w:p>
    <w:p>
      <w:pPr>
        <w:spacing w:after="120"/>
      </w:pPr>
      <w:r>
        <w:rPr>
          <w:rFonts w:ascii="Times New Roman" w:cs="Times New Roman" w:eastAsia="Times New Roman" w:hAnsi="Times New Roman"/>
          <w:i/>
          <w:iCs/>
          <w:sz w:val="24"/>
          <w:szCs w:val="24"/>
        </w:rPr>
        <w:t xml:space="preserve">95% student-clustered bootstrap confidence intervals for AUC-ROC (mean across 5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600"/>
      </w:tblGrid>
      <w:tr>
        <w:tc>
          <w:tcPr>
            <w:tcW w:type="dxa" w:w="18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b/>
                <w:bCs/>
                <w:sz w:val="20"/>
                <w:szCs w:val="20"/>
              </w:rPr>
              <w:t xml:space="preserve">Dataset</w:t>
            </w:r>
          </w:p>
        </w:tc>
        <w:tc>
          <w:tcPr>
            <w:tcW w:type="dxa" w:w="14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BKT</w:t>
            </w:r>
          </w:p>
        </w:tc>
        <w:tc>
          <w:tcPr>
            <w:tcW w:type="dxa" w:w="14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PFA</w:t>
            </w:r>
          </w:p>
        </w:tc>
        <w:tc>
          <w:tcPr>
            <w:tcW w:type="dxa" w:w="14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DKT</w:t>
            </w:r>
          </w:p>
        </w:tc>
        <w:tc>
          <w:tcPr>
            <w:tcW w:type="dxa" w:w="14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SAKT</w:t>
            </w:r>
          </w:p>
        </w:tc>
        <w:tc>
          <w:tcPr>
            <w:tcW w:type="dxa" w:w="1600"/>
            <w:tcBorders>
              <w:top w:val="single" w:color="000000" w:sz="1"/>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b/>
                <w:bCs/>
                <w:sz w:val="20"/>
                <w:szCs w:val="20"/>
              </w:rPr>
              <w:t xml:space="preserve">TransformerKT</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ASSISTments 2009</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[.693, .721]</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[.688, .714]</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[.722, .749]</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[.710, .737]</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[.714, .742]</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ASSISTments 2015</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[.662, .675]</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[.672, .685]</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[.712, .723]</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[.696, .708]</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[.701, .713]</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ASSISTments 2017</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[.634, .648]</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[.625, .638]</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[.670, .684]</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[.638, .654]</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[.650, .667]</w:t>
            </w:r>
          </w:p>
        </w:tc>
      </w:tr>
      <w:tr>
        <w:tc>
          <w:tcPr>
            <w:tcW w:type="dxa" w:w="1800"/>
            <w:tcBorders>
              <w:top w:val="none" w:sz="0"/>
              <w:left w:val="none" w:sz="0"/>
              <w:bottom w:val="none" w:sz="0"/>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Statics 2011</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[.639, .675]</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[.643, .678]</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[.684, .710]</w:t>
            </w:r>
          </w:p>
        </w:tc>
        <w:tc>
          <w:tcPr>
            <w:tcW w:type="dxa" w:w="14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[.660, .691]</w:t>
            </w:r>
          </w:p>
        </w:tc>
        <w:tc>
          <w:tcPr>
            <w:tcW w:type="dxa" w:w="1600"/>
            <w:tcBorders>
              <w:top w:val="none" w:sz="0"/>
              <w:left w:val="none" w:sz="0"/>
              <w:bottom w:val="none" w:sz="0"/>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[.675, .704]</w:t>
            </w:r>
          </w:p>
        </w:tc>
      </w:tr>
      <w:tr>
        <w:tc>
          <w:tcPr>
            <w:tcW w:type="dxa" w:w="1800"/>
            <w:tcBorders>
              <w:top w:val="none" w:sz="0"/>
              <w:left w:val="none" w:sz="0"/>
              <w:bottom w:val="single" w:color="000000" w:sz="1"/>
              <w:right w:val="none" w:sz="0"/>
            </w:tcBorders>
            <w:tcMar>
              <w:top w:type="dxa" w:w="40"/>
              <w:left w:type="dxa" w:w="80"/>
              <w:bottom w:type="dxa" w:w="40"/>
              <w:right w:type="dxa" w:w="80"/>
            </w:tcMar>
          </w:tcPr>
          <w:p>
            <w:pPr>
              <w:spacing w:after="0" w:line="240"/>
              <w:jc w:val="left"/>
            </w:pPr>
            <w:r>
              <w:rPr>
                <w:rFonts w:ascii="Times New Roman" w:cs="Times New Roman" w:eastAsia="Times New Roman" w:hAnsi="Times New Roman"/>
                <w:sz w:val="20"/>
                <w:szCs w:val="20"/>
              </w:rPr>
              <w:t xml:space="preserve">Algebra 2005</w:t>
            </w:r>
          </w:p>
        </w:tc>
        <w:tc>
          <w:tcPr>
            <w:tcW w:type="dxa" w:w="14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[.743, .765]</w:t>
            </w:r>
          </w:p>
        </w:tc>
        <w:tc>
          <w:tcPr>
            <w:tcW w:type="dxa" w:w="14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[.742, .760]</w:t>
            </w:r>
          </w:p>
        </w:tc>
        <w:tc>
          <w:tcPr>
            <w:tcW w:type="dxa" w:w="14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[.787, .805]</w:t>
            </w:r>
          </w:p>
        </w:tc>
        <w:tc>
          <w:tcPr>
            <w:tcW w:type="dxa" w:w="14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[.765, .785]</w:t>
            </w:r>
          </w:p>
        </w:tc>
        <w:tc>
          <w:tcPr>
            <w:tcW w:type="dxa" w:w="1600"/>
            <w:tcBorders>
              <w:top w:val="none" w:sz="0"/>
              <w:left w:val="none" w:sz="0"/>
              <w:bottom w:val="single" w:color="000000" w:sz="1"/>
              <w:right w:val="none" w:sz="0"/>
            </w:tcBorders>
            <w:tcMar>
              <w:top w:type="dxa" w:w="40"/>
              <w:left w:type="dxa" w:w="80"/>
              <w:bottom w:type="dxa" w:w="40"/>
              <w:right w:type="dxa" w:w="80"/>
            </w:tcMar>
          </w:tcPr>
          <w:p>
            <w:pPr>
              <w:spacing w:after="0" w:line="240"/>
              <w:jc w:val="center"/>
            </w:pPr>
            <w:r>
              <w:rPr>
                <w:rFonts w:ascii="Times New Roman" w:cs="Times New Roman" w:eastAsia="Times New Roman" w:hAnsi="Times New Roman"/>
                <w:sz w:val="20"/>
                <w:szCs w:val="20"/>
              </w:rPr>
              <w:t xml:space="preserve">[.784, .803]</w:t>
            </w:r>
          </w:p>
        </w:tc>
      </w:tr>
    </w:tbl>
    <w:p>
      <w:pPr>
        <w:spacing w:after="200" w:line="360"/>
      </w:pPr>
      <w:r>
        <w:rPr>
          <w:rFonts w:ascii="Times New Roman" w:cs="Times New Roman" w:eastAsia="Times New Roman" w:hAnsi="Times New Roman"/>
          <w:i/>
          <w:iCs/>
          <w:sz w:val="24"/>
          <w:szCs w:val="24"/>
        </w:rPr>
        <w:t xml:space="preserve">95% student-clustered bootstrap confidence intervals for AUC-ROC (mean across 5 folds)</w:t>
      </w:r>
    </w:p>
    <w:p>
      <w:pPr>
        <w:pStyle w:val="Heading2"/>
        <w:spacing w:after="200" w:before="360"/>
      </w:pPr>
      <w:r>
        <w:rPr>
          <w:rFonts w:ascii="Times New Roman" w:cs="Times New Roman" w:eastAsia="Times New Roman" w:hAnsi="Times New Roman"/>
          <w:b/>
          <w:bCs/>
          <w:sz w:val="26"/>
          <w:szCs w:val="26"/>
        </w:rPr>
        <w:t xml:space="preserve">Dataset-specific observations</w:t>
      </w:r>
    </w:p>
    <w:p>
      <w:pPr>
        <w:spacing w:after="200" w:line="360"/>
      </w:pPr>
      <w:r>
        <w:rPr>
          <w:rFonts w:ascii="Times New Roman" w:cs="Times New Roman" w:eastAsia="Times New Roman" w:hAnsi="Times New Roman"/>
          <w:sz w:val="24"/>
          <w:szCs w:val="24"/>
        </w:rPr>
        <w:t xml:space="preserve">The relative ordering of datasets by difficulty is consistent across all models. Algebra 2005 yields the highest AUC-ROC for every model, likely due to its long interaction sequences (M = 1,070.5 per student) which provide rich temporal signal. In contrast, ASSISTments 2017 is the most challenging dataset for all models, with AUC-ROC values 3 to 12 percentage points lower than on other datasets. This is likely attributable to its low correct rate (0.374) and high number of skills (411), which create a sparse skill-response matrix.</w:t>
      </w:r>
    </w:p>
    <w:p>
      <w:r>
        <w:br w:type="page"/>
      </w:r>
    </w:p>
    <w:p>
      <w:pPr>
        <w:pStyle w:val="Heading1"/>
        <w:spacing w:after="200" w:before="360"/>
      </w:pPr>
      <w:r>
        <w:rPr>
          <w:rFonts w:ascii="Times New Roman" w:cs="Times New Roman" w:eastAsia="Times New Roman" w:hAnsi="Times New Roman"/>
          <w:b/>
          <w:bCs/>
          <w:sz w:val="28"/>
          <w:szCs w:val="28"/>
        </w:rPr>
        <w:t xml:space="preserve">Discussion</w:t>
      </w:r>
    </w:p>
    <w:p>
      <w:pPr>
        <w:spacing w:after="200" w:line="360"/>
      </w:pPr>
      <w:r>
        <w:rPr>
          <w:rFonts w:ascii="Times New Roman" w:cs="Times New Roman" w:eastAsia="Times New Roman" w:hAnsi="Times New Roman"/>
          <w:sz w:val="24"/>
          <w:szCs w:val="24"/>
        </w:rPr>
        <w:t xml:space="preserve">This benchmark study compared five knowledge tracing methods across five datasets using a unified evaluation protocol, yielding three primary findings.</w:t>
      </w:r>
    </w:p>
    <w:p>
      <w:pPr>
        <w:spacing w:after="200" w:line="360"/>
      </w:pPr>
      <w:r>
        <w:rPr>
          <w:rFonts w:ascii="Times New Roman" w:cs="Times New Roman" w:eastAsia="Times New Roman" w:hAnsi="Times New Roman"/>
          <w:sz w:val="24"/>
          <w:szCs w:val="24"/>
        </w:rPr>
        <w:t xml:space="preserve">First, deep learning methods generally outperform classical approaches on discrimination metrics. DKT achieves a macro-averaged AUC-ROC advantage of approximately 4 percentage points over both BKT and PFA. This advantage is consistent across all five datasets for AUC-ROC and PR-AUC; however, differences in accuracy and F1 are smaller and sometimes reverse on individual datasets, suggesting that the benefit of DL is most pronounced when ranking predictions rather than when applying a fixed decision threshold. These results confirm the general finding of Piech et al. (2015) that recurrent neural networks capture patterns in student interaction sequences that classical approaches do not, while adding nuance about which evaluation aspects benefit most.</w:t>
      </w:r>
    </w:p>
    <w:p>
      <w:pPr>
        <w:spacing w:after="200" w:line="360"/>
      </w:pPr>
      <w:r>
        <w:rPr>
          <w:rFonts w:ascii="Times New Roman" w:cs="Times New Roman" w:eastAsia="Times New Roman" w:hAnsi="Times New Roman"/>
          <w:sz w:val="24"/>
          <w:szCs w:val="24"/>
        </w:rPr>
        <w:t xml:space="preserve">Second, among deep learning methods, the LSTM-based DKT achieves the best overall performance. TransformerKT, despite having a more expressive architecture with multi-head self-attention, trails DKT by 0.9 AUC-ROC percentage points on average and requires 2.9 times more computation. SAKT trails by 2.0 percentage points. These results are consistent with the findings of Gervet et al. (2020) that more complex architectures do not necessarily improve KT performance proportionally to their increased cost.</w:t>
      </w:r>
    </w:p>
    <w:p>
      <w:pPr>
        <w:spacing w:after="200" w:line="360"/>
      </w:pPr>
      <w:r>
        <w:rPr>
          <w:rFonts w:ascii="Times New Roman" w:cs="Times New Roman" w:eastAsia="Times New Roman" w:hAnsi="Times New Roman"/>
          <w:sz w:val="24"/>
          <w:szCs w:val="24"/>
        </w:rPr>
        <w:t xml:space="preserve">Third, the choice of dataset substantially influences absolute performance levels but not the relative ordering of methods. All models perform best on Algebra 2005 and worst on ASSISTments 2017, suggesting that dataset characteristics (sequence length, number of skills, class balance) are at least as important as model architecture in determining KT performance.</w:t>
      </w:r>
    </w:p>
    <w:p>
      <w:pPr>
        <w:pStyle w:val="Heading2"/>
        <w:spacing w:after="200" w:before="360"/>
      </w:pPr>
      <w:r>
        <w:rPr>
          <w:rFonts w:ascii="Times New Roman" w:cs="Times New Roman" w:eastAsia="Times New Roman" w:hAnsi="Times New Roman"/>
          <w:b/>
          <w:bCs/>
          <w:sz w:val="26"/>
          <w:szCs w:val="26"/>
        </w:rPr>
        <w:t xml:space="preserve">Classical methods revisited</w:t>
      </w:r>
    </w:p>
    <w:p>
      <w:pPr>
        <w:spacing w:after="200" w:line="360"/>
      </w:pPr>
      <w:r>
        <w:rPr>
          <w:rFonts w:ascii="Times New Roman" w:cs="Times New Roman" w:eastAsia="Times New Roman" w:hAnsi="Times New Roman"/>
          <w:sz w:val="24"/>
          <w:szCs w:val="24"/>
        </w:rPr>
        <w:t xml:space="preserve">An important finding of this study is that properly implemented classical methods achieve stronger performance than is sometimes reported in the literature. With correct forward-backward EM for BKT (applied to full, unchunked interaction histories) and proper categorical skill encoding for PFA, both methods achieve macro-averaged AUC-ROC of 0.685. On Algebra 2005, BKT reaches AUC = 0.753, within 4.3 percentage points of DKT. These results suggest that some of the performance gap attributed to deep learning in prior work may reflect implementation differences rather than fundamental limitations of classical approaches. Researchers should be cautious about concluding that deep learning is universally superior without ensuring fair comparison conditions, including appropriate data representations for each model family.</w:t>
      </w:r>
    </w:p>
    <w:p>
      <w:pPr>
        <w:pStyle w:val="Heading2"/>
        <w:spacing w:after="200" w:before="360"/>
      </w:pPr>
      <w:r>
        <w:rPr>
          <w:rFonts w:ascii="Times New Roman" w:cs="Times New Roman" w:eastAsia="Times New Roman" w:hAnsi="Times New Roman"/>
          <w:b/>
          <w:bCs/>
          <w:sz w:val="26"/>
          <w:szCs w:val="26"/>
        </w:rPr>
        <w:t xml:space="preserve">Practical implications</w:t>
      </w:r>
    </w:p>
    <w:p>
      <w:pPr>
        <w:spacing w:after="200" w:line="360"/>
      </w:pPr>
      <w:r>
        <w:rPr>
          <w:rFonts w:ascii="Times New Roman" w:cs="Times New Roman" w:eastAsia="Times New Roman" w:hAnsi="Times New Roman"/>
          <w:sz w:val="24"/>
          <w:szCs w:val="24"/>
        </w:rPr>
        <w:t xml:space="preserve">The results have several implications for practitioners deploying KT in educational systems. For applications where computational resources are limited or interpretability is paramount, BKT and PFA remain reasonable choices, particularly on datasets with long interaction sequences (e.g., Algebra 2005, where BKT achieves AUC-ROC of 0.753). PFA is particularly attractive when training speed is important, averaging only 14 seconds per fold.</w:t>
      </w:r>
    </w:p>
    <w:p>
      <w:pPr>
        <w:spacing w:after="200" w:line="360"/>
      </w:pPr>
      <w:r>
        <w:rPr>
          <w:rFonts w:ascii="Times New Roman" w:cs="Times New Roman" w:eastAsia="Times New Roman" w:hAnsi="Times New Roman"/>
          <w:sz w:val="24"/>
          <w:szCs w:val="24"/>
        </w:rPr>
        <w:t xml:space="preserve">For applications requiring the highest prediction accuracy, DKT offers the best tradeoff between performance and computational cost. The attention-based models (SAKT, TransformerKT) do not provide sufficient performance gains to justify their increased complexity in most settings. TransformerKT achieves performance close to DKT on some datasets (Algebra 2005: 0.793 vs. 0.796) but requires substantially more training time.</w:t>
      </w:r>
    </w:p>
    <w:p>
      <w:pPr>
        <w:pStyle w:val="Heading2"/>
        <w:spacing w:after="200" w:before="360"/>
      </w:pPr>
      <w:r>
        <w:rPr>
          <w:rFonts w:ascii="Times New Roman" w:cs="Times New Roman" w:eastAsia="Times New Roman" w:hAnsi="Times New Roman"/>
          <w:b/>
          <w:bCs/>
          <w:sz w:val="26"/>
          <w:szCs w:val="26"/>
        </w:rPr>
        <w:t xml:space="preserve">Limitations</w:t>
      </w:r>
    </w:p>
    <w:p>
      <w:pPr>
        <w:spacing w:after="200" w:line="360"/>
      </w:pPr>
      <w:r>
        <w:rPr>
          <w:rFonts w:ascii="Times New Roman" w:cs="Times New Roman" w:eastAsia="Times New Roman" w:hAnsi="Times New Roman"/>
          <w:sz w:val="24"/>
          <w:szCs w:val="24"/>
        </w:rPr>
        <w:t xml:space="preserve">Several limitations should be acknowledged. First, the hyperparameters for each model were selected based on common defaults from the literature rather than through exhaustive grid search. It is possible that dataset-specific tuning could alter the relative rankings, particularly for attention-based models that may be more sensitive to hyperparameter choices.</w:t>
      </w:r>
    </w:p>
    <w:p>
      <w:pPr>
        <w:spacing w:after="200" w:line="360"/>
      </w:pPr>
      <w:r>
        <w:rPr>
          <w:rFonts w:ascii="Times New Roman" w:cs="Times New Roman" w:eastAsia="Times New Roman" w:hAnsi="Times New Roman"/>
          <w:sz w:val="24"/>
          <w:szCs w:val="24"/>
        </w:rPr>
        <w:t xml:space="preserve">Second, the TransformerKT model is a generic causal Transformer baseline and does not implement the full AKT architecture (Ghosh et al., 2020), which includes Rasch-model-based embeddings and a monotonic attention mechanism. The original AKT implementation may achieve higher performance. Future work should include the complete AKT architecture.</w:t>
      </w:r>
    </w:p>
    <w:p>
      <w:pPr>
        <w:spacing w:after="200" w:line="360"/>
      </w:pPr>
      <w:r>
        <w:rPr>
          <w:rFonts w:ascii="Times New Roman" w:cs="Times New Roman" w:eastAsia="Times New Roman" w:hAnsi="Times New Roman"/>
          <w:sz w:val="24"/>
          <w:szCs w:val="24"/>
        </w:rPr>
        <w:t xml:space="preserve">Third, all experiments were conducted on CPU, which disproportionately affects larger models. On GPU hardware, the computational cost differences between DKT, SAKT, and TransformerKT would likely be smaller, potentially shifting the cost-benefit analysis.</w:t>
      </w:r>
    </w:p>
    <w:p>
      <w:pPr>
        <w:spacing w:after="200" w:line="360"/>
      </w:pPr>
      <w:r>
        <w:rPr>
          <w:rFonts w:ascii="Times New Roman" w:cs="Times New Roman" w:eastAsia="Times New Roman" w:hAnsi="Times New Roman"/>
          <w:sz w:val="24"/>
          <w:szCs w:val="24"/>
        </w:rPr>
        <w:t xml:space="preserve">Fourth, this study does not include several recent methods, including transformer-based approaches that leverage pre-trained language models (Jung et al., 2025; Neubauer et al., 2026). Future work should extend this benchmark to include LLM-augmented KT methods, which represent a rapidly evolving frontier in the field.</w:t>
      </w:r>
    </w:p>
    <w:p>
      <w:pPr>
        <w:spacing w:after="200" w:line="360"/>
      </w:pPr>
      <w:r>
        <w:rPr>
          <w:rFonts w:ascii="Times New Roman" w:cs="Times New Roman" w:eastAsia="Times New Roman" w:hAnsi="Times New Roman"/>
          <w:sz w:val="24"/>
          <w:szCs w:val="24"/>
        </w:rPr>
        <w:t xml:space="preserve">Fifth, performance was evaluated using standard metrics (AUC-ROC, PR-AUC, accuracy, F1, RMSE) that treat all predictions equally. In practice, the predictions that matter most are those at decision boundaries, such as determining whether a student has achieved mastery. Future benchmarks should consider mastery-relevant metrics.</w:t>
      </w:r>
    </w:p>
    <w:p>
      <w:pPr>
        <w:spacing w:after="200" w:line="360"/>
      </w:pPr>
      <w:r>
        <w:rPr>
          <w:rFonts w:ascii="Times New Roman" w:cs="Times New Roman" w:eastAsia="Times New Roman" w:hAnsi="Times New Roman"/>
          <w:sz w:val="24"/>
          <w:szCs w:val="24"/>
        </w:rPr>
        <w:t xml:space="preserve">Finally, the common prediction mask excludes first encounters with each skill, which reduces the total number of evaluated predictions. While this ensures fair comparison, it also means that cold-start performance is not evaluated. Models that excel at predicting performance on novel skills may not be identified by this evaluation protocol.</w:t>
      </w:r>
    </w:p>
    <w:p>
      <w:pPr>
        <w:pStyle w:val="Heading2"/>
        <w:spacing w:after="200" w:before="360"/>
      </w:pPr>
      <w:r>
        <w:rPr>
          <w:rFonts w:ascii="Times New Roman" w:cs="Times New Roman" w:eastAsia="Times New Roman" w:hAnsi="Times New Roman"/>
          <w:b/>
          <w:bCs/>
          <w:sz w:val="26"/>
          <w:szCs w:val="26"/>
        </w:rPr>
        <w:t xml:space="preserve">Future directions</w:t>
      </w:r>
    </w:p>
    <w:p>
      <w:pPr>
        <w:spacing w:after="200" w:line="360"/>
      </w:pPr>
      <w:r>
        <w:rPr>
          <w:rFonts w:ascii="Times New Roman" w:cs="Times New Roman" w:eastAsia="Times New Roman" w:hAnsi="Times New Roman"/>
          <w:sz w:val="24"/>
          <w:szCs w:val="24"/>
        </w:rPr>
        <w:t xml:space="preserve">Several directions for future research emerge from this work. First, extending the benchmark to include LLM-augmented KT methods (e.g., CLST; Jung et al., 2025) would provide a more complete picture of the field. Second, evaluating fairness metrics across demographic subgroups would address growing concerns about algorithmic bias in educational AI (Verger et al., 2024). Third, conducting benchmarks on non-English-language and non-Western datasets would improve the generalizability of findings. Fourth, incorporating cold-start evaluation protocols would test model robustness in realistic deployment scenarios where new students have limited interaction histories.</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spacing w:after="120" w:line="360"/>
        <w:ind w:left="720" w:hanging="720"/>
      </w:pPr>
      <w:r>
        <w:rPr>
          <w:rFonts w:ascii="Times New Roman" w:cs="Times New Roman" w:eastAsia="Times New Roman" w:hAnsi="Times New Roman"/>
          <w:sz w:val="24"/>
          <w:szCs w:val="24"/>
        </w:rPr>
        <w:t xml:space="preserve">Badrinath, A., &amp; Pardos, Z. A. (2025). Optimizing Bayesian knowledge tracing with neural network parameter generation. Journal of Educational Data Mining, 17(1), 41--65.</w:t>
      </w:r>
    </w:p>
    <w:p>
      <w:pPr>
        <w:spacing w:after="120" w:line="360"/>
        <w:ind w:left="720" w:hanging="720"/>
      </w:pPr>
      <w:r>
        <w:rPr>
          <w:rFonts w:ascii="Times New Roman" w:cs="Times New Roman" w:eastAsia="Times New Roman" w:hAnsi="Times New Roman"/>
          <w:sz w:val="24"/>
          <w:szCs w:val="24"/>
        </w:rPr>
        <w:t xml:space="preserve">Baker, R. S. J. d., Corbett, A. T., &amp; Aleven, V. (2008). More accurate student modeling through contextual estimation of slip and guess probabilities in Bayesian knowledge tracing. In Proceedings of the 9th International Conference on Intelligent Tutoring Systems (pp. 406--415). Springer.</w:t>
      </w:r>
    </w:p>
    <w:p>
      <w:pPr>
        <w:spacing w:after="120" w:line="360"/>
        <w:ind w:left="720" w:hanging="720"/>
      </w:pPr>
      <w:r>
        <w:rPr>
          <w:rFonts w:ascii="Times New Roman" w:cs="Times New Roman" w:eastAsia="Times New Roman" w:hAnsi="Times New Roman"/>
          <w:sz w:val="24"/>
          <w:szCs w:val="24"/>
        </w:rPr>
        <w:t xml:space="preserve">Baker, R. S., &amp; Inventado, P. S. (2014). Educational data mining and learning analytics. In J. A. Larusson &amp; B. White (Eds.), Learning analytics: From research to practice (pp. 61--75). Springer.</w:t>
      </w:r>
    </w:p>
    <w:p>
      <w:pPr>
        <w:spacing w:after="120" w:line="360"/>
        <w:ind w:left="720" w:hanging="720"/>
      </w:pPr>
      <w:r>
        <w:rPr>
          <w:rFonts w:ascii="Times New Roman" w:cs="Times New Roman" w:eastAsia="Times New Roman" w:hAnsi="Times New Roman"/>
          <w:sz w:val="24"/>
          <w:szCs w:val="24"/>
        </w:rPr>
        <w:t xml:space="preserve">Cen, H., Koedinger, K., &amp; Junker, B. (2006). Learning factors analysis: A general method for cognitive model evaluation and improvement. In Proceedings of the 8th International Conference on Intelligent Tutoring Systems (pp. 164--175). Springer.</w:t>
      </w:r>
    </w:p>
    <w:p>
      <w:pPr>
        <w:spacing w:after="120" w:line="360"/>
        <w:ind w:left="720" w:hanging="720"/>
      </w:pPr>
      <w:r>
        <w:rPr>
          <w:rFonts w:ascii="Times New Roman" w:cs="Times New Roman" w:eastAsia="Times New Roman" w:hAnsi="Times New Roman"/>
          <w:sz w:val="24"/>
          <w:szCs w:val="24"/>
        </w:rPr>
        <w:t xml:space="preserve">Corbett, A. T., &amp; Anderson, J. R. (1995). Knowledge tracing: Modeling the acquisition of procedural knowledge. User Modeling and User-Adapted Interaction, 4(4), 253--278.</w:t>
      </w:r>
    </w:p>
    <w:p>
      <w:pPr>
        <w:spacing w:after="120" w:line="360"/>
        <w:ind w:left="720" w:hanging="720"/>
      </w:pPr>
      <w:r>
        <w:rPr>
          <w:rFonts w:ascii="Times New Roman" w:cs="Times New Roman" w:eastAsia="Times New Roman" w:hAnsi="Times New Roman"/>
          <w:sz w:val="24"/>
          <w:szCs w:val="24"/>
        </w:rPr>
        <w:t xml:space="preserve">Davis, J., &amp; Goadrich, M. (2006). The relationship between Precision-Recall and ROC curves. In Proceedings of the 23rd International Conference on Machine Learning (pp. 233--240). ACM.</w:t>
      </w:r>
    </w:p>
    <w:p>
      <w:pPr>
        <w:spacing w:after="120" w:line="360"/>
        <w:ind w:left="720" w:hanging="720"/>
      </w:pPr>
      <w:r>
        <w:rPr>
          <w:rFonts w:ascii="Times New Roman" w:cs="Times New Roman" w:eastAsia="Times New Roman" w:hAnsi="Times New Roman"/>
          <w:sz w:val="24"/>
          <w:szCs w:val="24"/>
        </w:rPr>
        <w:t xml:space="preserve">Feng, M., Heffernan, N. T., &amp; Koedinger, K. R. (2009). Addressing the assessment challenge with an online system that tutors as it assesses. User Modeling and User-Adapted Interaction, 19(3), 243--266.</w:t>
      </w:r>
    </w:p>
    <w:p>
      <w:pPr>
        <w:spacing w:after="120" w:line="360"/>
        <w:ind w:left="720" w:hanging="720"/>
      </w:pPr>
      <w:r>
        <w:rPr>
          <w:rFonts w:ascii="Times New Roman" w:cs="Times New Roman" w:eastAsia="Times New Roman" w:hAnsi="Times New Roman"/>
          <w:sz w:val="24"/>
          <w:szCs w:val="24"/>
        </w:rPr>
        <w:t xml:space="preserve">Gervet, T., Koedinger, K., Schneider, J., &amp; Mitchell, T. (2020). When is deep learning the best approach to knowledge tracing? Journal of Educational Data Mining, 12(3), 31--54.</w:t>
      </w:r>
    </w:p>
    <w:p>
      <w:pPr>
        <w:spacing w:after="120" w:line="360"/>
        <w:ind w:left="720" w:hanging="720"/>
      </w:pPr>
      <w:r>
        <w:rPr>
          <w:rFonts w:ascii="Times New Roman" w:cs="Times New Roman" w:eastAsia="Times New Roman" w:hAnsi="Times New Roman"/>
          <w:sz w:val="24"/>
          <w:szCs w:val="24"/>
        </w:rPr>
        <w:t xml:space="preserve">Ghosh, A., Heffernan, N., &amp; Lan, A. S. (2020). Context-aware attentive knowledge tracing. In Proceedings of the 26th ACM SIGKDD International Conference on Knowledge Discovery and Data Mining (pp. 2330--2339). ACM.</w:t>
      </w:r>
    </w:p>
    <w:p>
      <w:pPr>
        <w:spacing w:after="120" w:line="360"/>
        <w:ind w:left="720" w:hanging="720"/>
      </w:pPr>
      <w:r>
        <w:rPr>
          <w:rFonts w:ascii="Times New Roman" w:cs="Times New Roman" w:eastAsia="Times New Roman" w:hAnsi="Times New Roman"/>
          <w:sz w:val="24"/>
          <w:szCs w:val="24"/>
        </w:rPr>
        <w:t xml:space="preserve">Jung, H., Yoo, J., Yoon, Y., &amp; Jang, Y. (2025). CLST: Cold-start mitigation in knowledge tracing by aligning a generative language model as a students' knowledge tracer. Journal of Educational Data Mining, 17(2), 86--117.</w:t>
      </w:r>
    </w:p>
    <w:p>
      <w:pPr>
        <w:spacing w:after="120" w:line="360"/>
        <w:ind w:left="720" w:hanging="720"/>
      </w:pPr>
      <w:r>
        <w:rPr>
          <w:rFonts w:ascii="Times New Roman" w:cs="Times New Roman" w:eastAsia="Times New Roman" w:hAnsi="Times New Roman"/>
          <w:sz w:val="24"/>
          <w:szCs w:val="24"/>
        </w:rPr>
        <w:t xml:space="preserve">Kingma, D. P., &amp; Ba, J. (2015). Adam: A method for stochastic optimization. In Proceedings of the 3rd International Conference on Learning Representations.</w:t>
      </w:r>
    </w:p>
    <w:p>
      <w:pPr>
        <w:spacing w:after="120" w:line="360"/>
        <w:ind w:left="720" w:hanging="720"/>
      </w:pPr>
      <w:r>
        <w:rPr>
          <w:rFonts w:ascii="Times New Roman" w:cs="Times New Roman" w:eastAsia="Times New Roman" w:hAnsi="Times New Roman"/>
          <w:sz w:val="24"/>
          <w:szCs w:val="24"/>
        </w:rPr>
        <w:t xml:space="preserve">Koedinger, K. R., McLaughlin, E. A., &amp; Heffernan, N. T. (2010). A quasi-experimental evaluation of an on-line formative assessment and tutoring system. Journal of Educational Computing Research, 43(4), 489--510.</w:t>
      </w:r>
    </w:p>
    <w:p>
      <w:pPr>
        <w:spacing w:after="120" w:line="360"/>
        <w:ind w:left="720" w:hanging="720"/>
      </w:pPr>
      <w:r>
        <w:rPr>
          <w:rFonts w:ascii="Times New Roman" w:cs="Times New Roman" w:eastAsia="Times New Roman" w:hAnsi="Times New Roman"/>
          <w:sz w:val="24"/>
          <w:szCs w:val="24"/>
        </w:rPr>
        <w:t xml:space="preserve">Neubauer, K., Rudolph, Y., &amp; Brefeld, U. (2026). Principled transformers for predictive performance in knowledge tracing. Journal of Educational Data Mining, 18(1), 89--112.</w:t>
      </w:r>
    </w:p>
    <w:p>
      <w:pPr>
        <w:spacing w:after="120" w:line="360"/>
        <w:ind w:left="720" w:hanging="720"/>
      </w:pPr>
      <w:r>
        <w:rPr>
          <w:rFonts w:ascii="Times New Roman" w:cs="Times New Roman" w:eastAsia="Times New Roman" w:hAnsi="Times New Roman"/>
          <w:sz w:val="24"/>
          <w:szCs w:val="24"/>
        </w:rPr>
        <w:t xml:space="preserve">Pandey, S., &amp; Karypis, G. (2019). A self-attentive model for knowledge tracing. In Proceedings of the 12th International Conference on Educational Data Mining.</w:t>
      </w:r>
    </w:p>
    <w:p>
      <w:pPr>
        <w:spacing w:after="120" w:line="360"/>
        <w:ind w:left="720" w:hanging="720"/>
      </w:pPr>
      <w:r>
        <w:rPr>
          <w:rFonts w:ascii="Times New Roman" w:cs="Times New Roman" w:eastAsia="Times New Roman" w:hAnsi="Times New Roman"/>
          <w:sz w:val="24"/>
          <w:szCs w:val="24"/>
        </w:rPr>
        <w:t xml:space="preserve">Pavlik, P. I., Cen, H., &amp; Koedinger, K. R. (2009). Performance factors analysis: A new alternative to knowledge tracing. In Proceedings of the 14th International Conference on Artificial Intelligence in Education (pp. 531--538). IOS Press.</w:t>
      </w:r>
    </w:p>
    <w:p>
      <w:pPr>
        <w:spacing w:after="120" w:line="360"/>
        <w:ind w:left="720" w:hanging="720"/>
      </w:pPr>
      <w:r>
        <w:rPr>
          <w:rFonts w:ascii="Times New Roman" w:cs="Times New Roman" w:eastAsia="Times New Roman" w:hAnsi="Times New Roman"/>
          <w:sz w:val="24"/>
          <w:szCs w:val="24"/>
        </w:rPr>
        <w:t xml:space="preserve">Pelanek, R. (2015). Metrics for evaluation of student models. Journal of Educational Data Mining, 7(2), 1--19.</w:t>
      </w:r>
    </w:p>
    <w:p>
      <w:pPr>
        <w:spacing w:after="120" w:line="360"/>
        <w:ind w:left="720" w:hanging="720"/>
      </w:pPr>
      <w:r>
        <w:rPr>
          <w:rFonts w:ascii="Times New Roman" w:cs="Times New Roman" w:eastAsia="Times New Roman" w:hAnsi="Times New Roman"/>
          <w:sz w:val="24"/>
          <w:szCs w:val="24"/>
        </w:rPr>
        <w:t xml:space="preserve">Piech, C., Bassen, J., Huang, J., Ganguli, S., Sahami, M., Guibas, L., &amp; Sohl-Dickstein, J. (2015). Deep knowledge tracing. In Advances in Neural Information Processing Systems 28 (pp. 505--513).</w:t>
      </w:r>
    </w:p>
    <w:p>
      <w:pPr>
        <w:spacing w:after="120" w:line="360"/>
        <w:ind w:left="720" w:hanging="720"/>
      </w:pPr>
      <w:r>
        <w:rPr>
          <w:rFonts w:ascii="Times New Roman" w:cs="Times New Roman" w:eastAsia="Times New Roman" w:hAnsi="Times New Roman"/>
          <w:sz w:val="24"/>
          <w:szCs w:val="24"/>
        </w:rPr>
        <w:t xml:space="preserve">Rabiner, L. R. (1989). A tutorial on hidden Markov models and selected applications in speech recognition. Proceedings of the IEEE, 77(2), 257--286.</w:t>
      </w:r>
    </w:p>
    <w:p>
      <w:pPr>
        <w:spacing w:after="120" w:line="360"/>
        <w:ind w:left="720" w:hanging="720"/>
      </w:pPr>
      <w:r>
        <w:rPr>
          <w:rFonts w:ascii="Times New Roman" w:cs="Times New Roman" w:eastAsia="Times New Roman" w:hAnsi="Times New Roman"/>
          <w:sz w:val="24"/>
          <w:szCs w:val="24"/>
        </w:rPr>
        <w:t xml:space="preserve">Rasch, G. (1960). Probabilistic models for some intelligence and attainment tests. Danmarks Paedagogiske Institut.</w:t>
      </w:r>
    </w:p>
    <w:p>
      <w:pPr>
        <w:spacing w:after="120" w:line="360"/>
        <w:ind w:left="720" w:hanging="720"/>
      </w:pPr>
      <w:r>
        <w:rPr>
          <w:rFonts w:ascii="Times New Roman" w:cs="Times New Roman" w:eastAsia="Times New Roman" w:hAnsi="Times New Roman"/>
          <w:sz w:val="24"/>
          <w:szCs w:val="24"/>
        </w:rPr>
        <w:t xml:space="preserve">Stamper, J., Niculescu-Mizil, A., Ritter, S., Gordon, G. J., &amp; Koedinger, K. R. (2010). Algebra I 2005-2006: Challenge data set from KDD Cup 2010 Educational Data Mining Challenge. https://pslcdatashop.web.cmu.edu/KDDCup/</w:t>
      </w:r>
    </w:p>
    <w:p>
      <w:pPr>
        <w:spacing w:after="120" w:line="360"/>
        <w:ind w:left="720" w:hanging="720"/>
      </w:pPr>
      <w:r>
        <w:rPr>
          <w:rFonts w:ascii="Times New Roman" w:cs="Times New Roman" w:eastAsia="Times New Roman" w:hAnsi="Times New Roman"/>
          <w:sz w:val="24"/>
          <w:szCs w:val="24"/>
        </w:rPr>
        <w:t xml:space="preserve">Verger, N., Lissack, A., Gamboa, H., &amp; Rodrigues, F. (2024). A comprehensive study on evaluating and mitigating algorithmic unfairness with the MADD metric. Journal of Educational Data Mining, 16(1).</w:t>
      </w:r>
    </w:p>
    <w:p>
      <w:pPr>
        <w:spacing w:after="120" w:line="360"/>
        <w:ind w:left="720" w:hanging="720"/>
      </w:pPr>
      <w:r>
        <w:rPr>
          <w:rFonts w:ascii="Times New Roman" w:cs="Times New Roman" w:eastAsia="Times New Roman" w:hAnsi="Times New Roman"/>
          <w:sz w:val="24"/>
          <w:szCs w:val="24"/>
        </w:rPr>
        <w:t xml:space="preserve">Xiong, X., Zhao, S., Van Inwegen, E. G., &amp; Beck, J. E. (2016). Going deeper with deep knowledge tracing. In Proceedings of the 9th International Conference on Educational Data Mining (pp. 545--550).</w:t>
      </w:r>
    </w:p>
    <w:p>
      <w:pPr>
        <w:spacing w:after="120" w:line="360"/>
        <w:ind w:left="720" w:hanging="720"/>
      </w:pPr>
      <w:r>
        <w:rPr>
          <w:rFonts w:ascii="Times New Roman" w:cs="Times New Roman" w:eastAsia="Times New Roman" w:hAnsi="Times New Roman"/>
          <w:sz w:val="24"/>
          <w:szCs w:val="24"/>
        </w:rPr>
        <w:t xml:space="preserve">Yudelson, M. V., Koedinger, K. R., &amp; Gordon, G. J. (2013). Individualized Bayesian knowledge tracing models. In Proceedings of the 16th International Conference on Artificial Intelligence in Education (pp. 171--180). Springer.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BENCHMARKING KNOWLEDGE TRACING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2dcc24f306c69c65e2a8487d330bf32eff10e0.png"/><Relationship Id="rId10" Type="http://schemas.openxmlformats.org/officeDocument/2006/relationships/image" Target="media/d9522759dcbec151ed89a7fd46a6db52f59db491.png"/><Relationship Id="rId11" Type="http://schemas.openxmlformats.org/officeDocument/2006/relationships/image" Target="media/9c1699b18c127c614eb13c724afadaa3605ea891.png"/><Relationship Id="rId12" Type="http://schemas.openxmlformats.org/officeDocument/2006/relationships/image" Target="media/b0943de8621fe008708e649c6c2304add6c773fe.png"/><Relationship Id="rId13" Type="http://schemas.openxmlformats.org/officeDocument/2006/relationships/image" Target="media/655d93e310721daa716da5562d1a40cdfb77a15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2026-04-05T02:54:39.482Z</dcterms:created>
  <dcterms:modified xsi:type="dcterms:W3CDTF">2026-04-05T02:54:39.482Z</dcterms:modified>
</cp:coreProperties>
</file>

<file path=docProps/custom.xml><?xml version="1.0" encoding="utf-8"?>
<Properties xmlns="http://schemas.openxmlformats.org/officeDocument/2006/custom-properties" xmlns:vt="http://schemas.openxmlformats.org/officeDocument/2006/docPropsVTypes"/>
</file>