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331EE" w14:textId="05D6FC38" w:rsidR="00385196" w:rsidRDefault="00385196" w:rsidP="00385196">
      <w:pPr>
        <w:pStyle w:val="Instructions"/>
        <w:ind w:left="0"/>
        <w:rPr>
          <w:rFonts w:ascii="Courier New" w:hAnsi="Courier New" w:cs="Courier New"/>
          <w:i w:val="0"/>
          <w:iCs/>
          <w:color w:val="auto"/>
        </w:rPr>
      </w:pPr>
      <w:r>
        <w:rPr>
          <w:rFonts w:ascii="Courier New" w:hAnsi="Courier New" w:cs="Courier New"/>
          <w:i w:val="0"/>
          <w:iCs/>
          <w:color w:val="auto"/>
        </w:rPr>
        <w:t>**</w:t>
      </w:r>
      <w:r w:rsidRPr="00385196">
        <w:rPr>
          <w:rFonts w:ascii="Courier New" w:hAnsi="Courier New" w:cs="Courier New"/>
          <w:i w:val="0"/>
          <w:iCs/>
          <w:color w:val="auto"/>
        </w:rPr>
        <w:t xml:space="preserve">Al-Andalus - </w:t>
      </w:r>
      <w:proofErr w:type="spellStart"/>
      <w:r w:rsidRPr="00385196">
        <w:rPr>
          <w:rFonts w:ascii="Courier New" w:hAnsi="Courier New" w:cs="Courier New"/>
          <w:i w:val="0"/>
          <w:iCs/>
          <w:color w:val="auto"/>
        </w:rPr>
        <w:t>MAghreb</w:t>
      </w:r>
      <w:proofErr w:type="spellEnd"/>
      <w:r w:rsidRPr="00385196">
        <w:rPr>
          <w:rFonts w:ascii="Courier New" w:hAnsi="Courier New" w:cs="Courier New"/>
          <w:i w:val="0"/>
          <w:iCs/>
          <w:color w:val="auto"/>
        </w:rPr>
        <w:t xml:space="preserve">. </w:t>
      </w:r>
      <w:proofErr w:type="spellStart"/>
      <w:r w:rsidRPr="00385196">
        <w:rPr>
          <w:rFonts w:ascii="Courier New" w:hAnsi="Courier New" w:cs="Courier New"/>
          <w:i w:val="0"/>
          <w:iCs/>
          <w:color w:val="auto"/>
        </w:rPr>
        <w:t>CIRculation</w:t>
      </w:r>
      <w:proofErr w:type="spellEnd"/>
      <w:r w:rsidRPr="00385196">
        <w:rPr>
          <w:rFonts w:ascii="Courier New" w:hAnsi="Courier New" w:cs="Courier New"/>
          <w:i w:val="0"/>
          <w:iCs/>
          <w:color w:val="auto"/>
        </w:rPr>
        <w:t xml:space="preserve"> de l'or et de l'argent pour les monnayages de l'Occident musulman médiéval (VIIIe-XIIIe </w:t>
      </w:r>
      <w:proofErr w:type="gramStart"/>
      <w:r w:rsidRPr="00385196">
        <w:rPr>
          <w:rFonts w:ascii="Courier New" w:hAnsi="Courier New" w:cs="Courier New"/>
          <w:i w:val="0"/>
          <w:iCs/>
          <w:color w:val="auto"/>
        </w:rPr>
        <w:t>siècle)</w:t>
      </w:r>
      <w:r>
        <w:rPr>
          <w:rFonts w:ascii="Courier New" w:hAnsi="Courier New" w:cs="Courier New"/>
          <w:i w:val="0"/>
          <w:iCs/>
          <w:color w:val="auto"/>
        </w:rPr>
        <w:t>*</w:t>
      </w:r>
      <w:proofErr w:type="gramEnd"/>
      <w:r>
        <w:rPr>
          <w:rFonts w:ascii="Courier New" w:hAnsi="Courier New" w:cs="Courier New"/>
          <w:i w:val="0"/>
          <w:iCs/>
          <w:color w:val="auto"/>
        </w:rPr>
        <w:t>*</w:t>
      </w:r>
    </w:p>
    <w:p w14:paraId="239697FC" w14:textId="77777777" w:rsidR="00385196" w:rsidRPr="00385196" w:rsidRDefault="00385196" w:rsidP="00385196">
      <w:pPr>
        <w:pStyle w:val="Instructions"/>
        <w:ind w:left="0"/>
        <w:rPr>
          <w:rFonts w:ascii="Courier New" w:hAnsi="Courier New" w:cs="Courier New"/>
          <w:i w:val="0"/>
          <w:iCs/>
          <w:color w:val="auto"/>
        </w:rPr>
      </w:pPr>
    </w:p>
    <w:p w14:paraId="6B6F3BA5" w14:textId="77777777" w:rsidR="00385196" w:rsidRPr="00385196" w:rsidRDefault="00385196" w:rsidP="00385196">
      <w:pPr>
        <w:rPr>
          <w:rFonts w:ascii="Courier New" w:hAnsi="Courier New" w:cs="Courier New"/>
        </w:rPr>
      </w:pPr>
      <w:r w:rsidRPr="00385196">
        <w:rPr>
          <w:rFonts w:ascii="Courier New" w:hAnsi="Courier New" w:cs="Courier New"/>
        </w:rPr>
        <w:t xml:space="preserve">La circulation de l’or subsaharien vers les rives de la Méditerranée a fait l’objet d’une attention particulière de la part des historiens médiévistes. Les sources écrites, notamment les textes des géographes arabes, témoignent de la richesse de régions d’où proviendrait l’or utilisé pour les monnayages arabo-musulmans. L’ampleur de cette utilisation demeure néanmoins difficilement estimable. De la même manière, si l’exploitation de mines d’argent est documentée pour le Maghreb, l’utilisation de cette production dans les monnayages de l’Occident musulman n’a que peu été mesurée. Alors que la circulation des métaux précieux en direction d’al-Andalus a essentiellement été étudiée à partir de témoignages relatifs à l’or, il semble indispensable d’y associer l’argent afin de comprendre les dynamiques de circulation des métaux précieux dans le bassin occidental de la Méditerranée. </w:t>
      </w:r>
    </w:p>
    <w:p w14:paraId="25500E06" w14:textId="30617BC2" w:rsidR="00385196" w:rsidRPr="00385196" w:rsidRDefault="00385196" w:rsidP="00385196">
      <w:pPr>
        <w:rPr>
          <w:rFonts w:ascii="Courier New" w:hAnsi="Courier New" w:cs="Courier New"/>
        </w:rPr>
      </w:pPr>
      <w:r w:rsidRPr="00385196">
        <w:rPr>
          <w:rFonts w:ascii="Courier New" w:hAnsi="Courier New" w:cs="Courier New"/>
        </w:rPr>
        <w:t xml:space="preserve">Le projet ALMACIR propose l’établissement d’un référentiel de composition des alliages monétaires à base d’or et d’argent de l’Occident musulman médiéval grâce à des analyses spectrométriques de masse à plasma par couplage inductif par ablation laser (LA-ICP-MS). Après le catalogage et la mise en base de données des plus de 700 dinars et dirhams soumis aux analyses, les résultats mettront en avant les teneurs en éléments traces, présents sous la forme d’impuretés dans les minerais et susceptibles d’indiquer l’origine des métaux. Les objectifs seront d’évaluer la circulation de l’or et de l’argent et d’estimer les variations de flux selon les pouvoirs émetteurs, entre les conquêtes arabo-musulmanes en Occident au tournant des VIIe-VIIIe siècles et la chute de la dynastie almohade en 1269. L’étude devrait ainsi éclairer le commerce transsaharien et la production des métaux en Afrique de l’Ouest et du Nord, et renouveler la vision actuelle du commerce transsaharien et des réseaux de circulation entre le </w:t>
      </w:r>
      <w:r w:rsidR="001A5E37">
        <w:rPr>
          <w:rFonts w:ascii="Courier New" w:hAnsi="Courier New" w:cs="Courier New"/>
        </w:rPr>
        <w:t>_</w:t>
      </w:r>
      <w:proofErr w:type="spellStart"/>
      <w:r w:rsidRPr="001A5E37">
        <w:rPr>
          <w:rFonts w:ascii="Courier New" w:hAnsi="Courier New" w:cs="Courier New"/>
          <w:bCs/>
          <w:iCs/>
        </w:rPr>
        <w:t>Maġrib</w:t>
      </w:r>
      <w:proofErr w:type="spellEnd"/>
      <w:r w:rsidRPr="001A5E37">
        <w:rPr>
          <w:rFonts w:ascii="Courier New" w:hAnsi="Courier New" w:cs="Courier New"/>
          <w:bCs/>
          <w:iCs/>
        </w:rPr>
        <w:t xml:space="preserve"> al-</w:t>
      </w:r>
      <w:proofErr w:type="spellStart"/>
      <w:r w:rsidRPr="001A5E37">
        <w:rPr>
          <w:rFonts w:ascii="Courier New" w:hAnsi="Courier New" w:cs="Courier New"/>
          <w:bCs/>
          <w:iCs/>
        </w:rPr>
        <w:t>Aqsā</w:t>
      </w:r>
      <w:proofErr w:type="spellEnd"/>
      <w:r w:rsidR="001A5E37">
        <w:rPr>
          <w:rFonts w:ascii="Courier New" w:hAnsi="Courier New" w:cs="Courier New"/>
          <w:bCs/>
          <w:iCs/>
        </w:rPr>
        <w:t>_</w:t>
      </w:r>
      <w:r w:rsidRPr="00385196">
        <w:rPr>
          <w:rFonts w:ascii="Courier New" w:hAnsi="Courier New" w:cs="Courier New"/>
        </w:rPr>
        <w:t xml:space="preserve"> et al-Andalus.</w:t>
      </w:r>
    </w:p>
    <w:p w14:paraId="65406201" w14:textId="77777777" w:rsidR="00385196" w:rsidRDefault="00385196"/>
    <w:sectPr w:rsidR="003851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96"/>
    <w:rsid w:val="001977F0"/>
    <w:rsid w:val="001A5E37"/>
    <w:rsid w:val="003851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C406"/>
  <w15:chartTrackingRefBased/>
  <w15:docId w15:val="{1CE2B6A5-D4F4-4564-91BF-78AA92ED0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sid w:val="00385196"/>
    <w:rPr>
      <w:rFonts w:ascii="Courier New" w:eastAsia="Times New Roman" w:hAnsi="Courier New" w:cs="Courier New"/>
      <w:sz w:val="20"/>
      <w:szCs w:val="20"/>
    </w:rPr>
  </w:style>
  <w:style w:type="paragraph" w:customStyle="1" w:styleId="Instructions">
    <w:name w:val="Instructions"/>
    <w:basedOn w:val="Normal"/>
    <w:link w:val="InstructionsCar"/>
    <w:qFormat/>
    <w:rsid w:val="00385196"/>
    <w:pPr>
      <w:spacing w:after="0" w:line="240" w:lineRule="auto"/>
      <w:ind w:left="357"/>
      <w:jc w:val="both"/>
    </w:pPr>
    <w:rPr>
      <w:rFonts w:ascii="Arial" w:eastAsia="MS Mincho" w:hAnsi="Arial" w:cs="Times New Roman"/>
      <w:i/>
      <w:color w:val="808080"/>
      <w:szCs w:val="24"/>
      <w:lang w:eastAsia="ja-JP"/>
    </w:rPr>
  </w:style>
  <w:style w:type="character" w:customStyle="1" w:styleId="InstructionsCar">
    <w:name w:val="Instructions Car"/>
    <w:link w:val="Instructions"/>
    <w:rsid w:val="00385196"/>
    <w:rPr>
      <w:rFonts w:ascii="Arial" w:eastAsia="MS Mincho" w:hAnsi="Arial" w:cs="Times New Roman"/>
      <w:i/>
      <w:color w:val="808080"/>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319</Words>
  <Characters>1755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Gasc</dc:creator>
  <cp:keywords/>
  <dc:description/>
  <cp:lastModifiedBy>Sebastien Gasc</cp:lastModifiedBy>
  <cp:revision>2</cp:revision>
  <dcterms:created xsi:type="dcterms:W3CDTF">2025-10-28T14:49:00Z</dcterms:created>
  <dcterms:modified xsi:type="dcterms:W3CDTF">2025-10-28T14:58:00Z</dcterms:modified>
</cp:coreProperties>
</file>